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9D" w:rsidRPr="00A94C9D" w:rsidRDefault="00A94C9D" w:rsidP="00A94C9D">
      <w:pPr>
        <w:spacing w:before="120" w:after="0" w:line="240" w:lineRule="auto"/>
        <w:outlineLvl w:val="0"/>
        <w:rPr>
          <w:rFonts w:eastAsia="Calibri" w:cs="Arial"/>
          <w:caps/>
          <w:color w:val="DD6D28"/>
          <w:spacing w:val="26"/>
          <w:sz w:val="44"/>
        </w:rPr>
      </w:pPr>
      <w:r w:rsidRPr="00A94C9D">
        <w:rPr>
          <w:rFonts w:eastAsia="Calibri" w:cs="Arial"/>
          <w:caps/>
          <w:color w:val="DD6D28"/>
          <w:spacing w:val="26"/>
          <w:sz w:val="44"/>
        </w:rPr>
        <w:t xml:space="preserve">DISCLOSING PROTECTED </w:t>
      </w:r>
      <w:r>
        <w:rPr>
          <w:rFonts w:eastAsia="Calibri" w:cs="Arial"/>
          <w:caps/>
          <w:color w:val="DD6D28"/>
          <w:spacing w:val="26"/>
          <w:sz w:val="44"/>
        </w:rPr>
        <w:t>I</w:t>
      </w:r>
      <w:r w:rsidRPr="00A94C9D">
        <w:rPr>
          <w:rFonts w:eastAsia="Calibri" w:cs="Arial"/>
          <w:caps/>
          <w:color w:val="DD6D28"/>
          <w:spacing w:val="26"/>
          <w:sz w:val="44"/>
        </w:rPr>
        <w:t xml:space="preserve">NFORMATION </w:t>
      </w:r>
      <w:r w:rsidR="001326FD">
        <w:rPr>
          <w:rFonts w:eastAsia="Calibri" w:cs="Arial"/>
          <w:caps/>
          <w:color w:val="DD6D28"/>
          <w:spacing w:val="26"/>
          <w:sz w:val="44"/>
        </w:rPr>
        <w:t>IN</w:t>
      </w:r>
      <w:r w:rsidRPr="00A94C9D">
        <w:rPr>
          <w:rFonts w:eastAsia="Calibri" w:cs="Arial"/>
          <w:caps/>
          <w:color w:val="DD6D28"/>
          <w:spacing w:val="26"/>
          <w:sz w:val="44"/>
        </w:rPr>
        <w:t xml:space="preserve"> CIVIL LEGAL PROCEEDINGS</w:t>
      </w:r>
    </w:p>
    <w:p w:rsidR="0045233A" w:rsidRDefault="00511112" w:rsidP="006E38E9">
      <w:pPr>
        <w:pStyle w:val="AdviceNumLevel1"/>
        <w:numPr>
          <w:ilvl w:val="0"/>
          <w:numId w:val="0"/>
        </w:numPr>
        <w:spacing w:line="276" w:lineRule="auto"/>
        <w:rPr>
          <w:sz w:val="23"/>
          <w:szCs w:val="23"/>
        </w:rPr>
      </w:pPr>
      <w:r w:rsidRPr="006E38E9">
        <w:rPr>
          <w:sz w:val="23"/>
          <w:szCs w:val="23"/>
        </w:rPr>
        <w:t xml:space="preserve">This factsheet </w:t>
      </w:r>
      <w:r w:rsidR="00344A22" w:rsidRPr="006E38E9">
        <w:rPr>
          <w:sz w:val="23"/>
          <w:szCs w:val="23"/>
        </w:rPr>
        <w:t>focuses on</w:t>
      </w:r>
      <w:r w:rsidRPr="006E38E9">
        <w:rPr>
          <w:sz w:val="23"/>
          <w:szCs w:val="23"/>
        </w:rPr>
        <w:t xml:space="preserve"> </w:t>
      </w:r>
      <w:r w:rsidR="00344A22" w:rsidRPr="006E38E9">
        <w:rPr>
          <w:sz w:val="23"/>
          <w:szCs w:val="23"/>
        </w:rPr>
        <w:t>‘</w:t>
      </w:r>
      <w:r w:rsidRPr="006E38E9">
        <w:rPr>
          <w:sz w:val="23"/>
          <w:szCs w:val="23"/>
        </w:rPr>
        <w:t>protected information</w:t>
      </w:r>
      <w:r w:rsidR="00344A22" w:rsidRPr="006E38E9">
        <w:rPr>
          <w:sz w:val="23"/>
          <w:szCs w:val="23"/>
        </w:rPr>
        <w:t xml:space="preserve">’ as defined by the </w:t>
      </w:r>
      <w:r w:rsidR="00344A22" w:rsidRPr="006E38E9">
        <w:rPr>
          <w:i/>
          <w:sz w:val="23"/>
          <w:szCs w:val="23"/>
        </w:rPr>
        <w:t xml:space="preserve">National Redress Scheme for Institutional Child Sexual Abuse Act 2018 </w:t>
      </w:r>
      <w:r w:rsidR="00344A22" w:rsidRPr="006E38E9">
        <w:rPr>
          <w:sz w:val="23"/>
          <w:szCs w:val="23"/>
        </w:rPr>
        <w:t>(</w:t>
      </w:r>
      <w:r w:rsidR="00344A22" w:rsidRPr="006D3736">
        <w:rPr>
          <w:b/>
          <w:sz w:val="23"/>
          <w:szCs w:val="23"/>
        </w:rPr>
        <w:t xml:space="preserve">the </w:t>
      </w:r>
      <w:r w:rsidR="0020318F" w:rsidRPr="006D3736">
        <w:rPr>
          <w:b/>
          <w:sz w:val="23"/>
          <w:szCs w:val="23"/>
        </w:rPr>
        <w:t xml:space="preserve">Redress </w:t>
      </w:r>
      <w:r w:rsidR="00344A22" w:rsidRPr="006D3736">
        <w:rPr>
          <w:b/>
          <w:sz w:val="23"/>
          <w:szCs w:val="23"/>
        </w:rPr>
        <w:t>Act</w:t>
      </w:r>
      <w:r w:rsidR="00344A22" w:rsidRPr="006E38E9">
        <w:rPr>
          <w:sz w:val="23"/>
          <w:szCs w:val="23"/>
        </w:rPr>
        <w:t>)</w:t>
      </w:r>
      <w:r w:rsidR="00C55063">
        <w:rPr>
          <w:sz w:val="23"/>
          <w:szCs w:val="23"/>
        </w:rPr>
        <w:t xml:space="preserve">. It outlines the protections in the Redress Act </w:t>
      </w:r>
      <w:r w:rsidR="006E4651">
        <w:rPr>
          <w:sz w:val="23"/>
          <w:szCs w:val="23"/>
        </w:rPr>
        <w:t>in relation to</w:t>
      </w:r>
      <w:r w:rsidR="00C55063">
        <w:rPr>
          <w:sz w:val="23"/>
          <w:szCs w:val="23"/>
        </w:rPr>
        <w:t xml:space="preserve"> </w:t>
      </w:r>
      <w:r w:rsidR="00344A22" w:rsidRPr="006E38E9">
        <w:rPr>
          <w:sz w:val="23"/>
          <w:szCs w:val="23"/>
        </w:rPr>
        <w:t xml:space="preserve">civil </w:t>
      </w:r>
      <w:r w:rsidR="008C62A9">
        <w:rPr>
          <w:sz w:val="23"/>
          <w:szCs w:val="23"/>
        </w:rPr>
        <w:t xml:space="preserve">proceedings (including informal legal claims) </w:t>
      </w:r>
      <w:r w:rsidR="00344A22" w:rsidRPr="006E38E9">
        <w:rPr>
          <w:sz w:val="23"/>
          <w:szCs w:val="23"/>
        </w:rPr>
        <w:t xml:space="preserve">arising from historic </w:t>
      </w:r>
      <w:r w:rsidR="0020318F" w:rsidRPr="006E38E9">
        <w:rPr>
          <w:sz w:val="23"/>
          <w:szCs w:val="23"/>
        </w:rPr>
        <w:t>cases</w:t>
      </w:r>
      <w:r w:rsidR="00344A22" w:rsidRPr="006E38E9">
        <w:rPr>
          <w:sz w:val="23"/>
          <w:szCs w:val="23"/>
        </w:rPr>
        <w:t xml:space="preserve"> of institutional child </w:t>
      </w:r>
      <w:r w:rsidR="00890AD4" w:rsidRPr="006E38E9">
        <w:rPr>
          <w:sz w:val="23"/>
          <w:szCs w:val="23"/>
        </w:rPr>
        <w:t xml:space="preserve">sexual </w:t>
      </w:r>
      <w:r w:rsidR="00344A22" w:rsidRPr="006E38E9">
        <w:rPr>
          <w:sz w:val="23"/>
          <w:szCs w:val="23"/>
        </w:rPr>
        <w:t>abuse</w:t>
      </w:r>
      <w:r w:rsidR="00344A22" w:rsidRPr="006E38E9">
        <w:rPr>
          <w:i/>
          <w:sz w:val="23"/>
          <w:szCs w:val="23"/>
        </w:rPr>
        <w:t>.</w:t>
      </w:r>
      <w:r w:rsidRPr="006E38E9">
        <w:rPr>
          <w:sz w:val="23"/>
          <w:szCs w:val="23"/>
        </w:rPr>
        <w:t xml:space="preserve"> </w:t>
      </w:r>
    </w:p>
    <w:p w:rsidR="00AC4452" w:rsidRPr="006E38E9" w:rsidRDefault="00AC4452" w:rsidP="008C62A9">
      <w:pPr>
        <w:pStyle w:val="Dot1"/>
        <w:numPr>
          <w:ilvl w:val="0"/>
          <w:numId w:val="0"/>
        </w:numPr>
        <w:spacing w:before="140" w:line="276" w:lineRule="auto"/>
        <w:rPr>
          <w:sz w:val="23"/>
          <w:szCs w:val="23"/>
        </w:rPr>
      </w:pPr>
      <w:r>
        <w:rPr>
          <w:sz w:val="23"/>
          <w:szCs w:val="23"/>
        </w:rPr>
        <w:t>Sensitive information</w:t>
      </w:r>
      <w:r w:rsidRPr="006E38E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is routinely </w:t>
      </w:r>
      <w:r w:rsidRPr="006E38E9">
        <w:rPr>
          <w:sz w:val="23"/>
          <w:szCs w:val="23"/>
        </w:rPr>
        <w:t xml:space="preserve">acquired through the operation of the </w:t>
      </w:r>
      <w:r w:rsidR="00CB528B">
        <w:rPr>
          <w:sz w:val="23"/>
          <w:szCs w:val="23"/>
        </w:rPr>
        <w:t xml:space="preserve">National Redress </w:t>
      </w:r>
      <w:r w:rsidRPr="006E38E9">
        <w:rPr>
          <w:sz w:val="23"/>
          <w:szCs w:val="23"/>
        </w:rPr>
        <w:t>Scheme</w:t>
      </w:r>
      <w:r w:rsidR="00833F90">
        <w:rPr>
          <w:sz w:val="23"/>
          <w:szCs w:val="23"/>
        </w:rPr>
        <w:t xml:space="preserve"> (</w:t>
      </w:r>
      <w:r w:rsidR="00833F90" w:rsidRPr="006D3736">
        <w:rPr>
          <w:b/>
          <w:sz w:val="23"/>
          <w:szCs w:val="23"/>
        </w:rPr>
        <w:t>the Scheme</w:t>
      </w:r>
      <w:r w:rsidR="00833F90">
        <w:rPr>
          <w:sz w:val="23"/>
          <w:szCs w:val="23"/>
        </w:rPr>
        <w:t>)</w:t>
      </w:r>
      <w:r>
        <w:rPr>
          <w:sz w:val="23"/>
          <w:szCs w:val="23"/>
        </w:rPr>
        <w:t>.</w:t>
      </w:r>
      <w:r w:rsidR="00CB528B">
        <w:rPr>
          <w:sz w:val="23"/>
          <w:szCs w:val="23"/>
        </w:rPr>
        <w:t xml:space="preserve"> </w:t>
      </w:r>
      <w:r w:rsidRPr="006E38E9">
        <w:rPr>
          <w:sz w:val="23"/>
          <w:szCs w:val="23"/>
        </w:rPr>
        <w:t>Ensuring the protection of a person’s information is one way the Scheme can avoid further harming or traumatising survivors</w:t>
      </w:r>
      <w:r>
        <w:rPr>
          <w:sz w:val="23"/>
          <w:szCs w:val="23"/>
        </w:rPr>
        <w:t xml:space="preserve"> and is supported by provisions in the Redress Act</w:t>
      </w:r>
      <w:r w:rsidRPr="006E38E9">
        <w:rPr>
          <w:sz w:val="23"/>
          <w:szCs w:val="23"/>
        </w:rPr>
        <w:t xml:space="preserve">. </w:t>
      </w:r>
    </w:p>
    <w:p w:rsidR="0020318F" w:rsidRPr="006E38E9" w:rsidRDefault="0020318F" w:rsidP="006E38E9">
      <w:pPr>
        <w:pStyle w:val="AdviceNumLevel1"/>
        <w:numPr>
          <w:ilvl w:val="0"/>
          <w:numId w:val="0"/>
        </w:numPr>
        <w:spacing w:line="276" w:lineRule="auto"/>
        <w:rPr>
          <w:b/>
          <w:sz w:val="23"/>
          <w:szCs w:val="23"/>
        </w:rPr>
      </w:pPr>
      <w:r w:rsidRPr="006E38E9">
        <w:rPr>
          <w:b/>
          <w:sz w:val="23"/>
          <w:szCs w:val="23"/>
        </w:rPr>
        <w:t xml:space="preserve">What is protected information? </w:t>
      </w:r>
    </w:p>
    <w:p w:rsidR="00480EE2" w:rsidRPr="006E38E9" w:rsidRDefault="00480EE2" w:rsidP="006E38E9">
      <w:pPr>
        <w:pStyle w:val="AdviceNumLevel1"/>
        <w:numPr>
          <w:ilvl w:val="0"/>
          <w:numId w:val="0"/>
        </w:numPr>
        <w:spacing w:line="276" w:lineRule="auto"/>
        <w:rPr>
          <w:sz w:val="23"/>
          <w:szCs w:val="23"/>
        </w:rPr>
      </w:pPr>
      <w:r w:rsidRPr="006E38E9">
        <w:rPr>
          <w:sz w:val="23"/>
          <w:szCs w:val="23"/>
        </w:rPr>
        <w:t xml:space="preserve">‘Protected information’ is relevantly defined in </w:t>
      </w:r>
      <w:r w:rsidR="004F32BB">
        <w:rPr>
          <w:sz w:val="23"/>
          <w:szCs w:val="23"/>
        </w:rPr>
        <w:t>sub-</w:t>
      </w:r>
      <w:r w:rsidRPr="006E38E9">
        <w:rPr>
          <w:sz w:val="23"/>
          <w:szCs w:val="23"/>
        </w:rPr>
        <w:t>s</w:t>
      </w:r>
      <w:r w:rsidR="002A09BB">
        <w:rPr>
          <w:sz w:val="23"/>
          <w:szCs w:val="23"/>
        </w:rPr>
        <w:t>ection</w:t>
      </w:r>
      <w:r w:rsidRPr="006E38E9">
        <w:rPr>
          <w:sz w:val="23"/>
          <w:szCs w:val="23"/>
        </w:rPr>
        <w:t xml:space="preserve"> 92(2) to include information about a person or institution that:</w:t>
      </w:r>
    </w:p>
    <w:p w:rsidR="00480EE2" w:rsidRPr="006E38E9" w:rsidRDefault="00480EE2" w:rsidP="006E38E9">
      <w:pPr>
        <w:pStyle w:val="Dot1"/>
        <w:tabs>
          <w:tab w:val="clear" w:pos="425"/>
          <w:tab w:val="num" w:pos="851"/>
        </w:tabs>
        <w:spacing w:before="140" w:line="276" w:lineRule="auto"/>
        <w:ind w:left="851"/>
        <w:rPr>
          <w:sz w:val="23"/>
          <w:szCs w:val="23"/>
        </w:rPr>
      </w:pPr>
      <w:r w:rsidRPr="006E38E9">
        <w:rPr>
          <w:sz w:val="23"/>
          <w:szCs w:val="23"/>
        </w:rPr>
        <w:t>was provided to, or obtained by, an officer of the scheme for the purposes of the scheme</w:t>
      </w:r>
      <w:r w:rsidR="005C15AD">
        <w:rPr>
          <w:sz w:val="23"/>
          <w:szCs w:val="23"/>
        </w:rPr>
        <w:t>;</w:t>
      </w:r>
      <w:r w:rsidRPr="006E38E9">
        <w:rPr>
          <w:sz w:val="23"/>
          <w:szCs w:val="23"/>
        </w:rPr>
        <w:t xml:space="preserve"> and</w:t>
      </w:r>
    </w:p>
    <w:p w:rsidR="005C15AD" w:rsidRDefault="00480EE2" w:rsidP="005C15AD">
      <w:pPr>
        <w:pStyle w:val="Dot1"/>
        <w:tabs>
          <w:tab w:val="clear" w:pos="425"/>
          <w:tab w:val="num" w:pos="851"/>
        </w:tabs>
        <w:spacing w:before="140" w:line="276" w:lineRule="auto"/>
        <w:ind w:left="851"/>
        <w:rPr>
          <w:sz w:val="23"/>
          <w:szCs w:val="23"/>
        </w:rPr>
      </w:pPr>
      <w:r w:rsidRPr="006E38E9">
        <w:rPr>
          <w:sz w:val="23"/>
          <w:szCs w:val="23"/>
        </w:rPr>
        <w:t xml:space="preserve">is or was held in the records of the Department </w:t>
      </w:r>
      <w:r w:rsidR="001326FD">
        <w:rPr>
          <w:sz w:val="23"/>
          <w:szCs w:val="23"/>
        </w:rPr>
        <w:t xml:space="preserve">of Social Services </w:t>
      </w:r>
      <w:r w:rsidRPr="006E38E9">
        <w:rPr>
          <w:sz w:val="23"/>
          <w:szCs w:val="23"/>
        </w:rPr>
        <w:t>or the Human Services Department</w:t>
      </w:r>
      <w:r w:rsidR="005C15AD">
        <w:rPr>
          <w:sz w:val="23"/>
          <w:szCs w:val="23"/>
        </w:rPr>
        <w:t xml:space="preserve"> (now known as Services Australia)</w:t>
      </w:r>
      <w:r w:rsidRPr="006E38E9">
        <w:rPr>
          <w:sz w:val="23"/>
          <w:szCs w:val="23"/>
        </w:rPr>
        <w:t xml:space="preserve">. </w:t>
      </w:r>
    </w:p>
    <w:p w:rsidR="00833F90" w:rsidRDefault="005C15AD" w:rsidP="006E38E9">
      <w:pPr>
        <w:pStyle w:val="Dot1"/>
        <w:numPr>
          <w:ilvl w:val="0"/>
          <w:numId w:val="0"/>
        </w:numPr>
        <w:spacing w:before="140" w:line="276" w:lineRule="auto"/>
        <w:rPr>
          <w:b/>
          <w:sz w:val="23"/>
          <w:szCs w:val="23"/>
        </w:rPr>
      </w:pPr>
      <w:r w:rsidRPr="006E38E9">
        <w:rPr>
          <w:sz w:val="23"/>
          <w:szCs w:val="23"/>
        </w:rPr>
        <w:t xml:space="preserve">Part 4-3 of the Redress Act limits the circumstances in which a person may </w:t>
      </w:r>
      <w:r>
        <w:t xml:space="preserve">obtain, record, </w:t>
      </w:r>
      <w:r w:rsidRPr="006E38E9">
        <w:rPr>
          <w:sz w:val="23"/>
          <w:szCs w:val="23"/>
        </w:rPr>
        <w:t xml:space="preserve">use </w:t>
      </w:r>
      <w:r>
        <w:rPr>
          <w:sz w:val="23"/>
          <w:szCs w:val="23"/>
        </w:rPr>
        <w:t>or</w:t>
      </w:r>
      <w:r w:rsidRPr="006E38E9">
        <w:rPr>
          <w:sz w:val="23"/>
          <w:szCs w:val="23"/>
        </w:rPr>
        <w:t xml:space="preserve"> disclose protected information.</w:t>
      </w:r>
    </w:p>
    <w:p w:rsidR="00E02166" w:rsidRPr="00F70759" w:rsidRDefault="00E02166" w:rsidP="006E38E9">
      <w:pPr>
        <w:pStyle w:val="Dot1"/>
        <w:numPr>
          <w:ilvl w:val="0"/>
          <w:numId w:val="0"/>
        </w:numPr>
        <w:spacing w:before="140" w:line="276" w:lineRule="auto"/>
        <w:rPr>
          <w:b/>
          <w:sz w:val="23"/>
          <w:szCs w:val="23"/>
        </w:rPr>
      </w:pPr>
      <w:r w:rsidRPr="00F70759">
        <w:rPr>
          <w:b/>
          <w:sz w:val="23"/>
          <w:szCs w:val="23"/>
        </w:rPr>
        <w:t>Examples of protected information include:</w:t>
      </w:r>
    </w:p>
    <w:p w:rsidR="00E02166" w:rsidRPr="006E38E9" w:rsidRDefault="00E02166" w:rsidP="006E38E9">
      <w:pPr>
        <w:pStyle w:val="Dot1"/>
        <w:numPr>
          <w:ilvl w:val="0"/>
          <w:numId w:val="3"/>
        </w:numPr>
        <w:tabs>
          <w:tab w:val="clear" w:pos="425"/>
          <w:tab w:val="num" w:pos="851"/>
        </w:tabs>
        <w:spacing w:before="140" w:line="276" w:lineRule="auto"/>
        <w:ind w:left="851"/>
        <w:rPr>
          <w:sz w:val="23"/>
          <w:szCs w:val="23"/>
        </w:rPr>
      </w:pPr>
      <w:r w:rsidRPr="006E38E9">
        <w:rPr>
          <w:sz w:val="23"/>
          <w:szCs w:val="23"/>
        </w:rPr>
        <w:t>a submitted redress application or information contained within an application;</w:t>
      </w:r>
    </w:p>
    <w:p w:rsidR="00E02166" w:rsidRPr="006E38E9" w:rsidRDefault="00E02166" w:rsidP="006E38E9">
      <w:pPr>
        <w:pStyle w:val="Dot1"/>
        <w:numPr>
          <w:ilvl w:val="0"/>
          <w:numId w:val="3"/>
        </w:numPr>
        <w:tabs>
          <w:tab w:val="clear" w:pos="425"/>
          <w:tab w:val="num" w:pos="851"/>
        </w:tabs>
        <w:spacing w:before="140" w:line="276" w:lineRule="auto"/>
        <w:ind w:left="851"/>
        <w:rPr>
          <w:sz w:val="23"/>
          <w:szCs w:val="23"/>
        </w:rPr>
      </w:pPr>
      <w:r w:rsidRPr="006E38E9">
        <w:rPr>
          <w:sz w:val="23"/>
          <w:szCs w:val="23"/>
        </w:rPr>
        <w:t>the identity of, or any other information about, a person, perpetrator or institution alleged to be responsible for abuse;</w:t>
      </w:r>
    </w:p>
    <w:p w:rsidR="0045233A" w:rsidRPr="006E38E9" w:rsidRDefault="00E02166" w:rsidP="006E38E9">
      <w:pPr>
        <w:pStyle w:val="Dot1"/>
        <w:numPr>
          <w:ilvl w:val="0"/>
          <w:numId w:val="3"/>
        </w:numPr>
        <w:tabs>
          <w:tab w:val="clear" w:pos="425"/>
          <w:tab w:val="num" w:pos="851"/>
        </w:tabs>
        <w:spacing w:before="140" w:line="276" w:lineRule="auto"/>
        <w:ind w:left="851"/>
        <w:rPr>
          <w:sz w:val="23"/>
          <w:szCs w:val="23"/>
        </w:rPr>
      </w:pPr>
      <w:r w:rsidRPr="006E38E9">
        <w:rPr>
          <w:sz w:val="23"/>
          <w:szCs w:val="23"/>
        </w:rPr>
        <w:t xml:space="preserve">the information accompanying a </w:t>
      </w:r>
      <w:r w:rsidR="0045233A" w:rsidRPr="006E38E9">
        <w:rPr>
          <w:sz w:val="23"/>
          <w:szCs w:val="23"/>
        </w:rPr>
        <w:t>request for information (RFI);</w:t>
      </w:r>
    </w:p>
    <w:p w:rsidR="00E02166" w:rsidRPr="006E38E9" w:rsidRDefault="0045233A" w:rsidP="006E38E9">
      <w:pPr>
        <w:pStyle w:val="Dot1"/>
        <w:numPr>
          <w:ilvl w:val="0"/>
          <w:numId w:val="3"/>
        </w:numPr>
        <w:tabs>
          <w:tab w:val="clear" w:pos="425"/>
          <w:tab w:val="num" w:pos="851"/>
        </w:tabs>
        <w:spacing w:before="140" w:line="276" w:lineRule="auto"/>
        <w:ind w:left="851"/>
        <w:rPr>
          <w:sz w:val="23"/>
          <w:szCs w:val="23"/>
        </w:rPr>
      </w:pPr>
      <w:r w:rsidRPr="006E38E9">
        <w:rPr>
          <w:sz w:val="23"/>
          <w:szCs w:val="23"/>
        </w:rPr>
        <w:t xml:space="preserve">an institution’s response to a </w:t>
      </w:r>
      <w:r w:rsidR="00E02166" w:rsidRPr="006E38E9">
        <w:rPr>
          <w:sz w:val="23"/>
          <w:szCs w:val="23"/>
        </w:rPr>
        <w:t>RFI;</w:t>
      </w:r>
    </w:p>
    <w:p w:rsidR="00E02166" w:rsidRPr="006E38E9" w:rsidRDefault="00E02166" w:rsidP="006E38E9">
      <w:pPr>
        <w:pStyle w:val="Dot1"/>
        <w:numPr>
          <w:ilvl w:val="0"/>
          <w:numId w:val="3"/>
        </w:numPr>
        <w:tabs>
          <w:tab w:val="clear" w:pos="425"/>
          <w:tab w:val="num" w:pos="851"/>
        </w:tabs>
        <w:spacing w:before="140" w:line="276" w:lineRule="auto"/>
        <w:ind w:left="851"/>
        <w:rPr>
          <w:sz w:val="23"/>
          <w:szCs w:val="23"/>
        </w:rPr>
      </w:pPr>
      <w:r w:rsidRPr="006E38E9">
        <w:rPr>
          <w:sz w:val="23"/>
          <w:szCs w:val="23"/>
        </w:rPr>
        <w:t xml:space="preserve">a person’s redress offer or determination; </w:t>
      </w:r>
      <w:r w:rsidR="002A09BB">
        <w:rPr>
          <w:sz w:val="23"/>
          <w:szCs w:val="23"/>
        </w:rPr>
        <w:t xml:space="preserve">and </w:t>
      </w:r>
    </w:p>
    <w:p w:rsidR="0045233A" w:rsidRPr="006E38E9" w:rsidRDefault="00E02166" w:rsidP="006E38E9">
      <w:pPr>
        <w:pStyle w:val="Dot1"/>
        <w:numPr>
          <w:ilvl w:val="0"/>
          <w:numId w:val="3"/>
        </w:numPr>
        <w:tabs>
          <w:tab w:val="clear" w:pos="425"/>
          <w:tab w:val="num" w:pos="851"/>
        </w:tabs>
        <w:spacing w:before="140" w:line="276" w:lineRule="auto"/>
        <w:ind w:left="851"/>
        <w:rPr>
          <w:sz w:val="23"/>
          <w:szCs w:val="23"/>
        </w:rPr>
      </w:pPr>
      <w:r w:rsidRPr="006E38E9">
        <w:rPr>
          <w:sz w:val="23"/>
          <w:szCs w:val="23"/>
        </w:rPr>
        <w:t>information about whether a redress payment has been offered or paid</w:t>
      </w:r>
      <w:r w:rsidR="00577F8F">
        <w:rPr>
          <w:sz w:val="23"/>
          <w:szCs w:val="23"/>
        </w:rPr>
        <w:t>, and the amount</w:t>
      </w:r>
      <w:r w:rsidRPr="006E38E9">
        <w:rPr>
          <w:sz w:val="23"/>
          <w:szCs w:val="23"/>
        </w:rPr>
        <w:t>.</w:t>
      </w:r>
    </w:p>
    <w:p w:rsidR="006D3736" w:rsidRDefault="006D3736" w:rsidP="006E38E9">
      <w:pPr>
        <w:pStyle w:val="NoSpacing"/>
        <w:spacing w:before="140" w:after="140" w:line="276" w:lineRule="auto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br w:type="page"/>
      </w:r>
    </w:p>
    <w:p w:rsidR="0020318F" w:rsidRPr="006E38E9" w:rsidRDefault="00CB528B" w:rsidP="006E38E9">
      <w:pPr>
        <w:pStyle w:val="NoSpacing"/>
        <w:spacing w:before="140" w:after="140" w:line="276" w:lineRule="auto"/>
        <w:rPr>
          <w:rFonts w:cs="Arial"/>
          <w:b/>
          <w:sz w:val="23"/>
          <w:szCs w:val="23"/>
        </w:rPr>
      </w:pPr>
      <w:r w:rsidRPr="006E38E9">
        <w:rPr>
          <w:rFonts w:cs="Arial"/>
          <w:b/>
          <w:sz w:val="23"/>
          <w:szCs w:val="23"/>
        </w:rPr>
        <w:lastRenderedPageBreak/>
        <w:t xml:space="preserve">Can protected information be disclosed in </w:t>
      </w:r>
      <w:r w:rsidR="006D3736">
        <w:rPr>
          <w:rFonts w:cs="Arial"/>
          <w:b/>
          <w:sz w:val="23"/>
          <w:szCs w:val="23"/>
        </w:rPr>
        <w:t>civil proceedings</w:t>
      </w:r>
      <w:r w:rsidRPr="006E38E9">
        <w:rPr>
          <w:rFonts w:cs="Arial"/>
          <w:b/>
          <w:sz w:val="23"/>
          <w:szCs w:val="23"/>
        </w:rPr>
        <w:t xml:space="preserve">? </w:t>
      </w:r>
      <w:r w:rsidR="0020318F" w:rsidRPr="006E38E9">
        <w:rPr>
          <w:rFonts w:cs="Arial"/>
          <w:b/>
          <w:sz w:val="23"/>
          <w:szCs w:val="23"/>
        </w:rPr>
        <w:t xml:space="preserve">Can protected information be used as evidence </w:t>
      </w:r>
      <w:r w:rsidR="006D3736">
        <w:rPr>
          <w:rFonts w:cs="Arial"/>
          <w:b/>
          <w:sz w:val="23"/>
          <w:szCs w:val="23"/>
        </w:rPr>
        <w:t>in civil proceedings</w:t>
      </w:r>
      <w:r w:rsidR="0020318F" w:rsidRPr="006E38E9">
        <w:rPr>
          <w:rFonts w:cs="Arial"/>
          <w:b/>
          <w:sz w:val="23"/>
          <w:szCs w:val="23"/>
        </w:rPr>
        <w:t xml:space="preserve">? </w:t>
      </w:r>
    </w:p>
    <w:p w:rsidR="00CB528B" w:rsidRDefault="0020318F" w:rsidP="006E38E9">
      <w:pPr>
        <w:pStyle w:val="NoSpacing"/>
        <w:spacing w:before="140" w:after="140" w:line="276" w:lineRule="auto"/>
        <w:rPr>
          <w:rFonts w:cs="Arial"/>
          <w:sz w:val="23"/>
          <w:szCs w:val="23"/>
        </w:rPr>
      </w:pPr>
      <w:r w:rsidRPr="006E38E9">
        <w:rPr>
          <w:rFonts w:cs="Arial"/>
          <w:sz w:val="23"/>
          <w:szCs w:val="23"/>
        </w:rPr>
        <w:t xml:space="preserve">No. </w:t>
      </w:r>
      <w:r w:rsidR="00CB528B" w:rsidRPr="006E38E9">
        <w:rPr>
          <w:rFonts w:cs="Arial"/>
          <w:sz w:val="23"/>
          <w:szCs w:val="23"/>
        </w:rPr>
        <w:t>Protected information can only be obtained, recorded, used or disclosed if authorised by the Redress Act</w:t>
      </w:r>
      <w:r w:rsidR="00CB528B">
        <w:rPr>
          <w:rFonts w:cs="Arial"/>
          <w:sz w:val="23"/>
          <w:szCs w:val="23"/>
        </w:rPr>
        <w:t xml:space="preserve">. </w:t>
      </w:r>
      <w:r w:rsidR="00DA67A2">
        <w:rPr>
          <w:rFonts w:cs="Arial"/>
          <w:sz w:val="23"/>
          <w:szCs w:val="23"/>
        </w:rPr>
        <w:t xml:space="preserve">Protected </w:t>
      </w:r>
      <w:r w:rsidRPr="006E38E9">
        <w:rPr>
          <w:rFonts w:cs="Arial"/>
          <w:sz w:val="23"/>
          <w:szCs w:val="23"/>
        </w:rPr>
        <w:t xml:space="preserve">Information </w:t>
      </w:r>
      <w:r w:rsidR="00DA67A2">
        <w:rPr>
          <w:rFonts w:cs="Arial"/>
          <w:sz w:val="23"/>
          <w:szCs w:val="23"/>
        </w:rPr>
        <w:t xml:space="preserve">is defined broadly as information about a person or institution </w:t>
      </w:r>
      <w:r w:rsidRPr="006E38E9">
        <w:rPr>
          <w:rFonts w:cs="Arial"/>
          <w:sz w:val="23"/>
          <w:szCs w:val="23"/>
        </w:rPr>
        <w:t>that was obtained</w:t>
      </w:r>
      <w:r w:rsidR="00DA67A2">
        <w:rPr>
          <w:rFonts w:cs="Arial"/>
          <w:sz w:val="23"/>
          <w:szCs w:val="23"/>
        </w:rPr>
        <w:t xml:space="preserve"> by an officer for the Scheme</w:t>
      </w:r>
      <w:r w:rsidRPr="006E38E9">
        <w:rPr>
          <w:rFonts w:cs="Arial"/>
          <w:sz w:val="23"/>
          <w:szCs w:val="23"/>
        </w:rPr>
        <w:t xml:space="preserve"> for the purposes of the Scheme</w:t>
      </w:r>
      <w:r w:rsidR="005C15AD">
        <w:rPr>
          <w:rFonts w:cs="Arial"/>
          <w:sz w:val="23"/>
          <w:szCs w:val="23"/>
        </w:rPr>
        <w:t>.</w:t>
      </w:r>
      <w:r w:rsidR="006D3736">
        <w:rPr>
          <w:rFonts w:cs="Arial"/>
          <w:sz w:val="23"/>
          <w:szCs w:val="23"/>
        </w:rPr>
        <w:t xml:space="preserve"> </w:t>
      </w:r>
      <w:r w:rsidR="005C15AD">
        <w:rPr>
          <w:rFonts w:cs="Arial"/>
          <w:sz w:val="23"/>
          <w:szCs w:val="23"/>
        </w:rPr>
        <w:t>U</w:t>
      </w:r>
      <w:r w:rsidRPr="006E38E9">
        <w:rPr>
          <w:rFonts w:cs="Arial"/>
          <w:sz w:val="23"/>
          <w:szCs w:val="23"/>
        </w:rPr>
        <w:t xml:space="preserve">se in </w:t>
      </w:r>
      <w:r w:rsidR="006D3736">
        <w:rPr>
          <w:rFonts w:cs="Arial"/>
          <w:sz w:val="23"/>
          <w:szCs w:val="23"/>
        </w:rPr>
        <w:t>c</w:t>
      </w:r>
      <w:r w:rsidR="00E02166" w:rsidRPr="006E38E9">
        <w:rPr>
          <w:rFonts w:cs="Arial"/>
          <w:sz w:val="23"/>
          <w:szCs w:val="23"/>
        </w:rPr>
        <w:t xml:space="preserve">ivil </w:t>
      </w:r>
      <w:r w:rsidR="001326FD">
        <w:rPr>
          <w:rFonts w:cs="Arial"/>
          <w:sz w:val="23"/>
          <w:szCs w:val="23"/>
        </w:rPr>
        <w:t>proceedings</w:t>
      </w:r>
      <w:r w:rsidR="001326FD" w:rsidRPr="006E38E9">
        <w:rPr>
          <w:rFonts w:cs="Arial"/>
          <w:sz w:val="23"/>
          <w:szCs w:val="23"/>
        </w:rPr>
        <w:t xml:space="preserve"> </w:t>
      </w:r>
      <w:r w:rsidRPr="006E38E9">
        <w:rPr>
          <w:rFonts w:cs="Arial"/>
          <w:sz w:val="23"/>
          <w:szCs w:val="23"/>
        </w:rPr>
        <w:t xml:space="preserve">is not authorised by the </w:t>
      </w:r>
      <w:r w:rsidR="00E02166" w:rsidRPr="006E38E9">
        <w:rPr>
          <w:rFonts w:cs="Arial"/>
          <w:sz w:val="23"/>
          <w:szCs w:val="23"/>
        </w:rPr>
        <w:t xml:space="preserve">Redress </w:t>
      </w:r>
      <w:r w:rsidRPr="006E38E9">
        <w:rPr>
          <w:rFonts w:cs="Arial"/>
          <w:sz w:val="23"/>
          <w:szCs w:val="23"/>
        </w:rPr>
        <w:t>Act</w:t>
      </w:r>
      <w:r w:rsidR="00CB528B">
        <w:rPr>
          <w:rFonts w:cs="Arial"/>
          <w:sz w:val="23"/>
          <w:szCs w:val="23"/>
        </w:rPr>
        <w:t>.</w:t>
      </w:r>
    </w:p>
    <w:p w:rsidR="006D3736" w:rsidRDefault="00CB528B" w:rsidP="006D3736">
      <w:pPr>
        <w:pStyle w:val="NoSpacing"/>
        <w:spacing w:before="140" w:after="14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In addition</w:t>
      </w:r>
      <w:r w:rsidR="000B3A34">
        <w:rPr>
          <w:rFonts w:cs="Arial"/>
          <w:sz w:val="23"/>
          <w:szCs w:val="23"/>
        </w:rPr>
        <w:t>, unless for the purpose of giving effect to the Redress Act</w:t>
      </w:r>
      <w:r>
        <w:rPr>
          <w:rFonts w:cs="Arial"/>
          <w:sz w:val="23"/>
          <w:szCs w:val="23"/>
        </w:rPr>
        <w:t>:</w:t>
      </w:r>
    </w:p>
    <w:p w:rsidR="006D3736" w:rsidRDefault="006D3736" w:rsidP="006D3736">
      <w:pPr>
        <w:pStyle w:val="NoSpacing"/>
        <w:numPr>
          <w:ilvl w:val="0"/>
          <w:numId w:val="10"/>
        </w:numPr>
        <w:spacing w:before="140" w:after="14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s</w:t>
      </w:r>
      <w:r w:rsidR="0020318F" w:rsidRPr="006E38E9">
        <w:rPr>
          <w:rFonts w:cs="Arial"/>
          <w:sz w:val="23"/>
          <w:szCs w:val="23"/>
        </w:rPr>
        <w:t xml:space="preserve">ection 37 of the </w:t>
      </w:r>
      <w:r w:rsidR="00E02166" w:rsidRPr="006E38E9">
        <w:rPr>
          <w:rFonts w:cs="Arial"/>
          <w:sz w:val="23"/>
          <w:szCs w:val="23"/>
        </w:rPr>
        <w:t xml:space="preserve">Redress </w:t>
      </w:r>
      <w:r w:rsidR="0020318F" w:rsidRPr="006E38E9">
        <w:rPr>
          <w:rFonts w:cs="Arial"/>
          <w:sz w:val="23"/>
          <w:szCs w:val="23"/>
        </w:rPr>
        <w:t>Act</w:t>
      </w:r>
      <w:r w:rsidR="00AC4452">
        <w:rPr>
          <w:rFonts w:cs="Arial"/>
          <w:sz w:val="23"/>
          <w:szCs w:val="23"/>
        </w:rPr>
        <w:t xml:space="preserve"> specifies Scheme documents are not admissible </w:t>
      </w:r>
      <w:r w:rsidR="005C15AD">
        <w:rPr>
          <w:rFonts w:cs="Arial"/>
          <w:sz w:val="23"/>
          <w:szCs w:val="23"/>
        </w:rPr>
        <w:t xml:space="preserve">as </w:t>
      </w:r>
      <w:r w:rsidR="00CB528B">
        <w:rPr>
          <w:rFonts w:cs="Arial"/>
          <w:sz w:val="23"/>
          <w:szCs w:val="23"/>
        </w:rPr>
        <w:t>evidence in civil proceedings</w:t>
      </w:r>
      <w:r w:rsidR="005C15AD">
        <w:rPr>
          <w:rFonts w:cs="Arial"/>
          <w:sz w:val="23"/>
          <w:szCs w:val="23"/>
        </w:rPr>
        <w:t xml:space="preserve">; and </w:t>
      </w:r>
    </w:p>
    <w:p w:rsidR="006E6833" w:rsidRDefault="006D3736" w:rsidP="006D3736">
      <w:pPr>
        <w:pStyle w:val="NoSpacing"/>
        <w:numPr>
          <w:ilvl w:val="0"/>
          <w:numId w:val="10"/>
        </w:numPr>
        <w:spacing w:before="140" w:after="14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s</w:t>
      </w:r>
      <w:r w:rsidR="0020318F" w:rsidRPr="000B3A34">
        <w:rPr>
          <w:rFonts w:cs="Arial"/>
          <w:sz w:val="23"/>
          <w:szCs w:val="23"/>
        </w:rPr>
        <w:t>ection 105 of the</w:t>
      </w:r>
      <w:r w:rsidR="00E02166" w:rsidRPr="000B3A34">
        <w:rPr>
          <w:rFonts w:cs="Arial"/>
          <w:sz w:val="23"/>
          <w:szCs w:val="23"/>
        </w:rPr>
        <w:t xml:space="preserve"> Redress</w:t>
      </w:r>
      <w:r w:rsidR="0020318F" w:rsidRPr="000B3A34">
        <w:rPr>
          <w:rFonts w:cs="Arial"/>
          <w:sz w:val="23"/>
          <w:szCs w:val="23"/>
        </w:rPr>
        <w:t xml:space="preserve"> Act, </w:t>
      </w:r>
      <w:r w:rsidR="00CB528B" w:rsidRPr="000B3A34">
        <w:rPr>
          <w:rFonts w:cs="Arial"/>
          <w:sz w:val="23"/>
          <w:szCs w:val="23"/>
        </w:rPr>
        <w:t xml:space="preserve">specifies that </w:t>
      </w:r>
      <w:r w:rsidR="0020318F" w:rsidRPr="000B3A34">
        <w:rPr>
          <w:rFonts w:cs="Arial"/>
          <w:sz w:val="23"/>
          <w:szCs w:val="23"/>
        </w:rPr>
        <w:t xml:space="preserve">a person must not be required to disclose protected information in </w:t>
      </w:r>
      <w:r w:rsidR="004F32BB">
        <w:rPr>
          <w:rFonts w:cs="Arial"/>
          <w:sz w:val="23"/>
          <w:szCs w:val="23"/>
        </w:rPr>
        <w:t>c</w:t>
      </w:r>
      <w:r w:rsidR="00F70759" w:rsidRPr="000B3A34">
        <w:rPr>
          <w:rFonts w:cs="Arial"/>
          <w:sz w:val="23"/>
          <w:szCs w:val="23"/>
        </w:rPr>
        <w:t xml:space="preserve">ivil </w:t>
      </w:r>
      <w:r w:rsidR="001326FD" w:rsidRPr="000B3A34">
        <w:rPr>
          <w:rFonts w:cs="Arial"/>
          <w:sz w:val="23"/>
          <w:szCs w:val="23"/>
        </w:rPr>
        <w:t>proceedings</w:t>
      </w:r>
      <w:r w:rsidR="000B3A34" w:rsidRPr="000B3A34">
        <w:rPr>
          <w:rFonts w:cs="Arial"/>
          <w:sz w:val="23"/>
          <w:szCs w:val="23"/>
        </w:rPr>
        <w:t>.</w:t>
      </w:r>
    </w:p>
    <w:p w:rsidR="000B3A34" w:rsidRDefault="000B3A34" w:rsidP="006D3736">
      <w:pPr>
        <w:pStyle w:val="NoSpacing"/>
        <w:spacing w:before="140" w:after="14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Giving eff</w:t>
      </w:r>
      <w:r w:rsidR="00632E3F">
        <w:rPr>
          <w:rFonts w:cs="Arial"/>
          <w:sz w:val="23"/>
          <w:szCs w:val="23"/>
        </w:rPr>
        <w:t>ect to the Redress Act includes disclosing information in civil proceedings:</w:t>
      </w:r>
    </w:p>
    <w:p w:rsidR="00632E3F" w:rsidRDefault="000B3A34" w:rsidP="006D3736">
      <w:pPr>
        <w:pStyle w:val="NoSpacing"/>
        <w:numPr>
          <w:ilvl w:val="0"/>
          <w:numId w:val="9"/>
        </w:numPr>
        <w:spacing w:before="140" w:after="14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for judicial review of a decision made under the Act</w:t>
      </w:r>
      <w:r w:rsidR="00632E3F">
        <w:rPr>
          <w:rFonts w:cs="Arial"/>
          <w:sz w:val="23"/>
          <w:szCs w:val="23"/>
        </w:rPr>
        <w:t>; and</w:t>
      </w:r>
    </w:p>
    <w:p w:rsidR="00632E3F" w:rsidRPr="00632E3F" w:rsidRDefault="0049459B" w:rsidP="006D3736">
      <w:pPr>
        <w:pStyle w:val="NoSpacing"/>
        <w:numPr>
          <w:ilvl w:val="0"/>
          <w:numId w:val="9"/>
        </w:numPr>
        <w:spacing w:before="140" w:after="14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under or </w:t>
      </w:r>
      <w:r w:rsidR="00632E3F">
        <w:rPr>
          <w:rFonts w:cs="Arial"/>
          <w:sz w:val="23"/>
          <w:szCs w:val="23"/>
        </w:rPr>
        <w:t>arising out of section 28 of the Redress Act (providing false or misleading documents or information to an officer of the Scheme)</w:t>
      </w:r>
    </w:p>
    <w:p w:rsidR="006E38E9" w:rsidRPr="000B3A34" w:rsidRDefault="00CB528B" w:rsidP="000B3A34">
      <w:pPr>
        <w:pStyle w:val="NoSpacing"/>
        <w:spacing w:before="140" w:after="140" w:line="276" w:lineRule="auto"/>
        <w:rPr>
          <w:rFonts w:cs="Arial"/>
          <w:i/>
          <w:sz w:val="23"/>
          <w:szCs w:val="23"/>
        </w:rPr>
      </w:pPr>
      <w:r w:rsidRPr="005C15AD">
        <w:rPr>
          <w:rFonts w:cs="Arial"/>
          <w:sz w:val="23"/>
          <w:szCs w:val="23"/>
        </w:rPr>
        <w:t>T</w:t>
      </w:r>
      <w:r w:rsidR="00F70759" w:rsidRPr="005C15AD">
        <w:rPr>
          <w:rFonts w:cs="Arial"/>
          <w:sz w:val="23"/>
          <w:szCs w:val="23"/>
        </w:rPr>
        <w:t>he Explanatory Memorandum to the Redres</w:t>
      </w:r>
      <w:r w:rsidR="00F70759" w:rsidRPr="000B3A34">
        <w:rPr>
          <w:rFonts w:cs="Arial"/>
          <w:sz w:val="23"/>
          <w:szCs w:val="23"/>
        </w:rPr>
        <w:t xml:space="preserve">s Act states </w:t>
      </w:r>
      <w:r w:rsidR="00F70759" w:rsidRPr="000B3A34">
        <w:rPr>
          <w:rFonts w:cs="Arial"/>
          <w:i/>
          <w:sz w:val="23"/>
          <w:szCs w:val="23"/>
        </w:rPr>
        <w:t>t</w:t>
      </w:r>
      <w:r w:rsidR="006E38E9" w:rsidRPr="000B3A34">
        <w:rPr>
          <w:rFonts w:cs="Arial"/>
          <w:i/>
          <w:sz w:val="23"/>
          <w:szCs w:val="23"/>
        </w:rPr>
        <w:t xml:space="preserve">he objects of the Scheme are to provide an avenue for a payment that acknowledges a wrong that might otherwise be pursued through </w:t>
      </w:r>
      <w:r w:rsidR="006D3736">
        <w:rPr>
          <w:rFonts w:cs="Arial"/>
          <w:i/>
          <w:sz w:val="23"/>
          <w:szCs w:val="23"/>
        </w:rPr>
        <w:t>civil litigation</w:t>
      </w:r>
      <w:r w:rsidR="006E38E9" w:rsidRPr="000B3A34">
        <w:rPr>
          <w:rFonts w:cs="Arial"/>
          <w:i/>
          <w:sz w:val="23"/>
          <w:szCs w:val="23"/>
        </w:rPr>
        <w:t xml:space="preserve">. The Scheme would be undermined if it were able to be used as a form of discovery in </w:t>
      </w:r>
      <w:r w:rsidR="006D3736">
        <w:rPr>
          <w:rFonts w:cs="Arial"/>
          <w:i/>
          <w:sz w:val="23"/>
          <w:szCs w:val="23"/>
        </w:rPr>
        <w:t>court</w:t>
      </w:r>
      <w:r w:rsidR="00F70759" w:rsidRPr="000B3A34">
        <w:rPr>
          <w:rFonts w:cs="Arial"/>
          <w:i/>
          <w:sz w:val="23"/>
          <w:szCs w:val="23"/>
        </w:rPr>
        <w:t xml:space="preserve"> </w:t>
      </w:r>
      <w:r w:rsidR="00E55307" w:rsidRPr="000B3A34">
        <w:rPr>
          <w:rFonts w:cs="Arial"/>
          <w:i/>
          <w:sz w:val="23"/>
          <w:szCs w:val="23"/>
        </w:rPr>
        <w:t>proceedings</w:t>
      </w:r>
      <w:r w:rsidR="006E38E9" w:rsidRPr="000B3A34">
        <w:rPr>
          <w:rFonts w:cs="Arial"/>
          <w:i/>
          <w:sz w:val="23"/>
          <w:szCs w:val="23"/>
        </w:rPr>
        <w:t xml:space="preserve">. </w:t>
      </w:r>
    </w:p>
    <w:p w:rsidR="0020318F" w:rsidRPr="006E38E9" w:rsidRDefault="0020318F" w:rsidP="006E38E9">
      <w:pPr>
        <w:pStyle w:val="NoSpacing"/>
        <w:spacing w:before="140" w:after="140" w:line="276" w:lineRule="auto"/>
        <w:rPr>
          <w:rFonts w:cs="Arial"/>
          <w:b/>
          <w:sz w:val="23"/>
          <w:szCs w:val="23"/>
        </w:rPr>
      </w:pPr>
      <w:r w:rsidRPr="006E38E9">
        <w:rPr>
          <w:rFonts w:cs="Arial"/>
          <w:b/>
          <w:sz w:val="23"/>
          <w:szCs w:val="23"/>
        </w:rPr>
        <w:t>What happens if the protected information provisions</w:t>
      </w:r>
      <w:r w:rsidR="00E02166" w:rsidRPr="006E38E9">
        <w:rPr>
          <w:rFonts w:cs="Arial"/>
          <w:b/>
          <w:sz w:val="23"/>
          <w:szCs w:val="23"/>
        </w:rPr>
        <w:t xml:space="preserve"> are breached</w:t>
      </w:r>
      <w:r w:rsidRPr="006E38E9">
        <w:rPr>
          <w:rFonts w:cs="Arial"/>
          <w:b/>
          <w:sz w:val="23"/>
          <w:szCs w:val="23"/>
        </w:rPr>
        <w:t>?</w:t>
      </w:r>
    </w:p>
    <w:p w:rsidR="00511112" w:rsidRDefault="00E02166" w:rsidP="002A09BB">
      <w:pPr>
        <w:pStyle w:val="Dot1"/>
        <w:numPr>
          <w:ilvl w:val="0"/>
          <w:numId w:val="0"/>
        </w:numPr>
        <w:spacing w:before="140" w:line="276" w:lineRule="auto"/>
        <w:rPr>
          <w:sz w:val="23"/>
          <w:szCs w:val="23"/>
        </w:rPr>
      </w:pPr>
      <w:r w:rsidRPr="006E38E9">
        <w:rPr>
          <w:sz w:val="23"/>
          <w:szCs w:val="23"/>
        </w:rPr>
        <w:t xml:space="preserve">It is an offence to access, record, disclose, use, solicit disclosure of, or offer to disclose protected information without authorisation under </w:t>
      </w:r>
      <w:r w:rsidR="00D126B7" w:rsidRPr="006E38E9">
        <w:rPr>
          <w:sz w:val="23"/>
          <w:szCs w:val="23"/>
        </w:rPr>
        <w:t>sections 99 – 101 of the</w:t>
      </w:r>
      <w:r w:rsidRPr="006E38E9">
        <w:rPr>
          <w:sz w:val="23"/>
          <w:szCs w:val="23"/>
        </w:rPr>
        <w:t xml:space="preserve"> Redress Act.</w:t>
      </w:r>
      <w:r w:rsidR="002A09BB" w:rsidRPr="002A09BB">
        <w:rPr>
          <w:sz w:val="23"/>
          <w:szCs w:val="23"/>
        </w:rPr>
        <w:t xml:space="preserve"> </w:t>
      </w:r>
      <w:r w:rsidR="002A09BB">
        <w:rPr>
          <w:sz w:val="23"/>
          <w:szCs w:val="23"/>
        </w:rPr>
        <w:t xml:space="preserve">The penalty is </w:t>
      </w:r>
      <w:r w:rsidR="002A09BB" w:rsidRPr="002A09BB">
        <w:rPr>
          <w:sz w:val="23"/>
          <w:szCs w:val="23"/>
        </w:rPr>
        <w:t>imprisonment for 2 years, 120 penalty units or both. Th</w:t>
      </w:r>
      <w:r w:rsidR="002A09BB">
        <w:rPr>
          <w:sz w:val="23"/>
          <w:szCs w:val="23"/>
        </w:rPr>
        <w:t xml:space="preserve">is penalty is considered to be </w:t>
      </w:r>
      <w:r w:rsidR="002A09BB" w:rsidRPr="002A09BB">
        <w:rPr>
          <w:sz w:val="23"/>
          <w:szCs w:val="23"/>
        </w:rPr>
        <w:t>an appropriate deterrent against unauthorised r</w:t>
      </w:r>
      <w:r w:rsidR="002A09BB">
        <w:rPr>
          <w:sz w:val="23"/>
          <w:szCs w:val="23"/>
        </w:rPr>
        <w:t xml:space="preserve">ecording, disclosure or use of </w:t>
      </w:r>
      <w:r w:rsidR="002A09BB" w:rsidRPr="002A09BB">
        <w:rPr>
          <w:sz w:val="23"/>
          <w:szCs w:val="23"/>
        </w:rPr>
        <w:t>protected information and recognises the sensitiv</w:t>
      </w:r>
      <w:r w:rsidR="002A09BB">
        <w:rPr>
          <w:sz w:val="23"/>
          <w:szCs w:val="23"/>
        </w:rPr>
        <w:t xml:space="preserve">ity of information held by the </w:t>
      </w:r>
      <w:r w:rsidR="002A09BB" w:rsidRPr="002A09BB">
        <w:rPr>
          <w:sz w:val="23"/>
          <w:szCs w:val="23"/>
        </w:rPr>
        <w:t>Scheme</w:t>
      </w:r>
      <w:r w:rsidR="002A09BB">
        <w:rPr>
          <w:sz w:val="23"/>
          <w:szCs w:val="23"/>
        </w:rPr>
        <w:t>.</w:t>
      </w:r>
    </w:p>
    <w:p w:rsidR="00C32B0B" w:rsidRDefault="00C32B0B" w:rsidP="002A09BB">
      <w:pPr>
        <w:pStyle w:val="Dot1"/>
        <w:numPr>
          <w:ilvl w:val="0"/>
          <w:numId w:val="0"/>
        </w:numPr>
        <w:spacing w:before="140" w:line="276" w:lineRule="auto"/>
        <w:rPr>
          <w:sz w:val="23"/>
          <w:szCs w:val="23"/>
        </w:rPr>
      </w:pPr>
      <w:r>
        <w:rPr>
          <w:sz w:val="23"/>
          <w:szCs w:val="23"/>
        </w:rPr>
        <w:t>If you need further information, please contact the National Redress Scheme:</w:t>
      </w:r>
    </w:p>
    <w:p w:rsidR="00511112" w:rsidRDefault="00C32B0B" w:rsidP="00C32B0B">
      <w:pPr>
        <w:pStyle w:val="Dot1"/>
        <w:numPr>
          <w:ilvl w:val="0"/>
          <w:numId w:val="2"/>
        </w:numPr>
        <w:spacing w:before="14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Email: </w:t>
      </w:r>
      <w:hyperlink r:id="rId7" w:history="1">
        <w:r w:rsidRPr="007B6C2A">
          <w:rPr>
            <w:rStyle w:val="Hyperlink"/>
            <w:sz w:val="23"/>
            <w:szCs w:val="23"/>
          </w:rPr>
          <w:t>RedressPolicy@dss.gov.au</w:t>
        </w:r>
      </w:hyperlink>
      <w:r>
        <w:rPr>
          <w:sz w:val="23"/>
          <w:szCs w:val="23"/>
        </w:rPr>
        <w:t xml:space="preserve"> </w:t>
      </w:r>
    </w:p>
    <w:p w:rsidR="00780A63" w:rsidRPr="00780A63" w:rsidRDefault="00780A63" w:rsidP="00780A63">
      <w:pPr>
        <w:pStyle w:val="Heading2"/>
        <w:rPr>
          <w:sz w:val="23"/>
          <w:szCs w:val="23"/>
        </w:rPr>
      </w:pPr>
      <w:r w:rsidRPr="00780A63">
        <w:rPr>
          <w:sz w:val="23"/>
          <w:szCs w:val="23"/>
        </w:rPr>
        <w:t xml:space="preserve">How can I get support and more information? </w:t>
      </w:r>
    </w:p>
    <w:p w:rsidR="00780A63" w:rsidRPr="00780A63" w:rsidRDefault="00780A63" w:rsidP="00780A63">
      <w:pPr>
        <w:rPr>
          <w:sz w:val="23"/>
          <w:szCs w:val="23"/>
        </w:rPr>
      </w:pPr>
      <w:r w:rsidRPr="00780A63">
        <w:rPr>
          <w:sz w:val="23"/>
          <w:szCs w:val="23"/>
        </w:rPr>
        <w:t xml:space="preserve">Free, confidential specialist support services are available before, during and after the application process. </w:t>
      </w:r>
    </w:p>
    <w:p w:rsidR="00780A63" w:rsidRPr="00780A63" w:rsidRDefault="00780A63" w:rsidP="00780A63">
      <w:pPr>
        <w:rPr>
          <w:sz w:val="23"/>
          <w:szCs w:val="23"/>
        </w:rPr>
      </w:pPr>
      <w:r w:rsidRPr="00780A63">
        <w:rPr>
          <w:sz w:val="23"/>
          <w:szCs w:val="23"/>
        </w:rPr>
        <w:t xml:space="preserve">To find out </w:t>
      </w:r>
      <w:r w:rsidRPr="00780A63">
        <w:rPr>
          <w:b/>
          <w:bCs/>
          <w:sz w:val="23"/>
          <w:szCs w:val="23"/>
        </w:rPr>
        <w:t>how to apply</w:t>
      </w:r>
      <w:r w:rsidRPr="00780A63">
        <w:rPr>
          <w:sz w:val="23"/>
          <w:szCs w:val="23"/>
        </w:rPr>
        <w:t xml:space="preserve"> and connect with a free </w:t>
      </w:r>
      <w:r w:rsidRPr="00780A63">
        <w:rPr>
          <w:b/>
          <w:bCs/>
          <w:sz w:val="23"/>
          <w:szCs w:val="23"/>
        </w:rPr>
        <w:t>Redress Support Service</w:t>
      </w:r>
      <w:r w:rsidRPr="00780A63">
        <w:rPr>
          <w:sz w:val="23"/>
          <w:szCs w:val="23"/>
        </w:rPr>
        <w:t>, please go to</w:t>
      </w:r>
      <w:r w:rsidRPr="00EC6D7A">
        <w:rPr>
          <w:sz w:val="23"/>
          <w:szCs w:val="23"/>
        </w:rPr>
        <w:t xml:space="preserve"> </w:t>
      </w:r>
      <w:hyperlink r:id="rId8" w:history="1">
        <w:r w:rsidRPr="00EC6D7A">
          <w:rPr>
            <w:rStyle w:val="Hyperlink"/>
            <w:b/>
            <w:color w:val="auto"/>
            <w:sz w:val="23"/>
            <w:szCs w:val="23"/>
            <w:u w:val="none"/>
          </w:rPr>
          <w:t>nationalredress.gov.au</w:t>
        </w:r>
      </w:hyperlink>
      <w:r w:rsidRPr="00780A63">
        <w:rPr>
          <w:sz w:val="23"/>
          <w:szCs w:val="23"/>
        </w:rPr>
        <w:t xml:space="preserve"> or call the National Redress Sc</w:t>
      </w:r>
      <w:bookmarkStart w:id="0" w:name="_GoBack"/>
      <w:bookmarkEnd w:id="0"/>
      <w:r w:rsidRPr="00780A63">
        <w:rPr>
          <w:sz w:val="23"/>
          <w:szCs w:val="23"/>
        </w:rPr>
        <w:t xml:space="preserve">heme on </w:t>
      </w:r>
      <w:r w:rsidRPr="00780A63">
        <w:rPr>
          <w:b/>
          <w:bCs/>
          <w:sz w:val="23"/>
          <w:szCs w:val="23"/>
        </w:rPr>
        <w:t>1800 737 377</w:t>
      </w:r>
      <w:r w:rsidRPr="00780A63">
        <w:rPr>
          <w:sz w:val="23"/>
          <w:szCs w:val="23"/>
        </w:rPr>
        <w:t xml:space="preserve"> Monday to Friday 8am to 5pm AET, excluding public holidays – charges may apply.</w:t>
      </w:r>
    </w:p>
    <w:p w:rsidR="00780A63" w:rsidRDefault="00780A63" w:rsidP="00780A63">
      <w:pPr>
        <w:rPr>
          <w:sz w:val="23"/>
          <w:szCs w:val="23"/>
        </w:rPr>
      </w:pPr>
    </w:p>
    <w:p w:rsidR="00780A63" w:rsidRDefault="00780A63" w:rsidP="00780A63">
      <w:pPr>
        <w:rPr>
          <w:sz w:val="23"/>
          <w:szCs w:val="23"/>
        </w:rPr>
      </w:pPr>
    </w:p>
    <w:p w:rsidR="00780A63" w:rsidRPr="00780A63" w:rsidRDefault="00780A63" w:rsidP="00780A63">
      <w:pPr>
        <w:rPr>
          <w:sz w:val="23"/>
          <w:szCs w:val="23"/>
        </w:rPr>
      </w:pPr>
      <w:r w:rsidRPr="00780A63">
        <w:rPr>
          <w:sz w:val="23"/>
          <w:szCs w:val="23"/>
        </w:rPr>
        <w:lastRenderedPageBreak/>
        <w:t>For immediate support, contact:</w:t>
      </w:r>
    </w:p>
    <w:p w:rsidR="00780A63" w:rsidRPr="00780A63" w:rsidRDefault="0089443F" w:rsidP="00780A63">
      <w:pPr>
        <w:pStyle w:val="ListBullet"/>
        <w:rPr>
          <w:sz w:val="23"/>
          <w:szCs w:val="23"/>
        </w:rPr>
      </w:pPr>
      <w:hyperlink r:id="rId9" w:history="1">
        <w:r w:rsidR="00780A63" w:rsidRPr="00780A63">
          <w:rPr>
            <w:sz w:val="23"/>
            <w:szCs w:val="23"/>
          </w:rPr>
          <w:t>Beyond Blue</w:t>
        </w:r>
      </w:hyperlink>
      <w:r w:rsidR="00780A63" w:rsidRPr="00780A63">
        <w:rPr>
          <w:sz w:val="23"/>
          <w:szCs w:val="23"/>
        </w:rPr>
        <w:t xml:space="preserve"> 1300 22 4636</w:t>
      </w:r>
    </w:p>
    <w:p w:rsidR="00780A63" w:rsidRPr="00780A63" w:rsidRDefault="0089443F" w:rsidP="00780A63">
      <w:pPr>
        <w:pStyle w:val="ListBullet"/>
        <w:rPr>
          <w:sz w:val="23"/>
          <w:szCs w:val="23"/>
        </w:rPr>
      </w:pPr>
      <w:hyperlink r:id="rId10" w:history="1">
        <w:r w:rsidR="00780A63" w:rsidRPr="00780A63">
          <w:rPr>
            <w:sz w:val="23"/>
            <w:szCs w:val="23"/>
          </w:rPr>
          <w:t>Lifeline</w:t>
        </w:r>
      </w:hyperlink>
      <w:r w:rsidR="00780A63" w:rsidRPr="00780A63">
        <w:rPr>
          <w:sz w:val="23"/>
          <w:szCs w:val="23"/>
        </w:rPr>
        <w:t xml:space="preserve"> 13 11 14</w:t>
      </w:r>
    </w:p>
    <w:p w:rsidR="00780A63" w:rsidRPr="00780A63" w:rsidRDefault="0089443F" w:rsidP="00780A63">
      <w:pPr>
        <w:pStyle w:val="ListBullet"/>
        <w:rPr>
          <w:sz w:val="23"/>
          <w:szCs w:val="23"/>
        </w:rPr>
      </w:pPr>
      <w:hyperlink r:id="rId11" w:history="1">
        <w:r w:rsidR="00780A63" w:rsidRPr="00780A63">
          <w:rPr>
            <w:sz w:val="23"/>
            <w:szCs w:val="23"/>
          </w:rPr>
          <w:t>1800 Respect</w:t>
        </w:r>
      </w:hyperlink>
      <w:r w:rsidR="00780A63" w:rsidRPr="00780A63">
        <w:rPr>
          <w:sz w:val="23"/>
          <w:szCs w:val="23"/>
        </w:rPr>
        <w:t xml:space="preserve"> 1800 737 732</w:t>
      </w:r>
    </w:p>
    <w:p w:rsidR="00780A63" w:rsidRPr="00780A63" w:rsidRDefault="0089443F" w:rsidP="00780A63">
      <w:pPr>
        <w:pStyle w:val="ListBullet"/>
        <w:rPr>
          <w:sz w:val="23"/>
          <w:szCs w:val="23"/>
        </w:rPr>
      </w:pPr>
      <w:hyperlink r:id="rId12" w:history="1">
        <w:r w:rsidR="00780A63" w:rsidRPr="00780A63">
          <w:rPr>
            <w:sz w:val="23"/>
            <w:szCs w:val="23"/>
          </w:rPr>
          <w:t>Suicide Call Back Service</w:t>
        </w:r>
      </w:hyperlink>
      <w:r w:rsidR="00780A63" w:rsidRPr="00780A63">
        <w:rPr>
          <w:sz w:val="23"/>
          <w:szCs w:val="23"/>
        </w:rPr>
        <w:t xml:space="preserve"> 1300 659 467</w:t>
      </w:r>
    </w:p>
    <w:p w:rsidR="00780A63" w:rsidRPr="00780A63" w:rsidRDefault="0089443F" w:rsidP="00780A63">
      <w:pPr>
        <w:pStyle w:val="ListBullet"/>
        <w:rPr>
          <w:sz w:val="23"/>
          <w:szCs w:val="23"/>
        </w:rPr>
      </w:pPr>
      <w:hyperlink r:id="rId13" w:history="1">
        <w:r w:rsidR="00780A63" w:rsidRPr="00780A63">
          <w:rPr>
            <w:sz w:val="23"/>
            <w:szCs w:val="23"/>
          </w:rPr>
          <w:t>Mensline</w:t>
        </w:r>
      </w:hyperlink>
      <w:r w:rsidR="00780A63" w:rsidRPr="00780A63">
        <w:rPr>
          <w:sz w:val="23"/>
          <w:szCs w:val="23"/>
        </w:rPr>
        <w:t xml:space="preserve"> 1300 78 99 78</w:t>
      </w:r>
    </w:p>
    <w:p w:rsidR="00780A63" w:rsidRPr="00780A63" w:rsidRDefault="00780A63" w:rsidP="00780A63">
      <w:pPr>
        <w:pStyle w:val="ListBullet"/>
        <w:rPr>
          <w:sz w:val="23"/>
          <w:szCs w:val="23"/>
        </w:rPr>
      </w:pPr>
      <w:r w:rsidRPr="00780A63">
        <w:rPr>
          <w:sz w:val="23"/>
          <w:szCs w:val="23"/>
        </w:rPr>
        <w:t>In an emergency call Triple Zero (000)</w:t>
      </w:r>
    </w:p>
    <w:p w:rsidR="00780A63" w:rsidRPr="00C32B0B" w:rsidRDefault="00780A63" w:rsidP="00780A63">
      <w:pPr>
        <w:pStyle w:val="Dot1"/>
        <w:numPr>
          <w:ilvl w:val="0"/>
          <w:numId w:val="0"/>
        </w:numPr>
        <w:spacing w:before="140" w:line="276" w:lineRule="auto"/>
        <w:ind w:left="425" w:hanging="425"/>
        <w:rPr>
          <w:sz w:val="23"/>
          <w:szCs w:val="23"/>
        </w:rPr>
      </w:pPr>
    </w:p>
    <w:sectPr w:rsidR="00780A63" w:rsidRPr="00C32B0B" w:rsidSect="007B2B64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3F" w:rsidRDefault="0089443F" w:rsidP="00B04ED8">
      <w:pPr>
        <w:spacing w:after="0" w:line="240" w:lineRule="auto"/>
      </w:pPr>
      <w:r>
        <w:separator/>
      </w:r>
    </w:p>
  </w:endnote>
  <w:endnote w:type="continuationSeparator" w:id="0">
    <w:p w:rsidR="0089443F" w:rsidRDefault="0089443F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B64" w:rsidRDefault="007B2B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C6D7A">
      <w:rPr>
        <w:noProof/>
      </w:rPr>
      <w:t>2</w:t>
    </w:r>
    <w:r>
      <w:rPr>
        <w:noProof/>
      </w:rPr>
      <w:fldChar w:fldCharType="end"/>
    </w:r>
  </w:p>
  <w:p w:rsidR="007B2B64" w:rsidRDefault="007B2B64">
    <w:pPr>
      <w:pStyle w:val="Footer"/>
    </w:pPr>
    <w:r>
      <w:rPr>
        <w:noProof/>
        <w:lang w:eastAsia="en-AU"/>
      </w:rPr>
      <w:drawing>
        <wp:inline distT="0" distB="0" distL="0" distR="0" wp14:anchorId="32FD0B10" wp14:editId="309E2627">
          <wp:extent cx="5731510" cy="380304"/>
          <wp:effectExtent l="0" t="0" r="0" b="1270"/>
          <wp:docPr id="1" name="Picture 1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5731510" cy="380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B64" w:rsidRDefault="007B2B64">
    <w:pPr>
      <w:pStyle w:val="Footer"/>
    </w:pPr>
  </w:p>
  <w:p w:rsidR="007B2B64" w:rsidRDefault="007B2B64">
    <w:pPr>
      <w:pStyle w:val="Footer"/>
    </w:pPr>
    <w:r>
      <w:rPr>
        <w:noProof/>
        <w:lang w:eastAsia="en-AU"/>
      </w:rPr>
      <w:drawing>
        <wp:inline distT="0" distB="0" distL="0" distR="0" wp14:anchorId="17C40314" wp14:editId="55B6CDF0">
          <wp:extent cx="5731510" cy="380304"/>
          <wp:effectExtent l="0" t="0" r="0" b="1270"/>
          <wp:docPr id="42" name="Picture 42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5731510" cy="380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3F" w:rsidRDefault="0089443F" w:rsidP="00B04ED8">
      <w:pPr>
        <w:spacing w:after="0" w:line="240" w:lineRule="auto"/>
      </w:pPr>
      <w:r>
        <w:separator/>
      </w:r>
    </w:p>
  </w:footnote>
  <w:footnote w:type="continuationSeparator" w:id="0">
    <w:p w:rsidR="0089443F" w:rsidRDefault="0089443F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B64" w:rsidRDefault="007B2B64" w:rsidP="007B2B64">
    <w:pPr>
      <w:pStyle w:val="Header"/>
      <w:ind w:right="-13"/>
    </w:pPr>
    <w:r>
      <w:rPr>
        <w:noProof/>
        <w:lang w:eastAsia="en-AU"/>
      </w:rPr>
      <w:drawing>
        <wp:inline distT="0" distB="0" distL="0" distR="0" wp14:anchorId="3E2A68A1" wp14:editId="7BFCC6BF">
          <wp:extent cx="2378075" cy="787400"/>
          <wp:effectExtent l="0" t="0" r="0" b="0"/>
          <wp:docPr id="40" name="Picture 40" descr="National Redress Scheme For people who have experienced institutional child sexual abuse" title="National Redress Sche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S003_National Redress Scheme_Logo_I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2B64" w:rsidRPr="006B6348" w:rsidRDefault="007B2B64" w:rsidP="007B2B64">
    <w:pPr>
      <w:tabs>
        <w:tab w:val="center" w:pos="4513"/>
        <w:tab w:val="right" w:pos="9026"/>
      </w:tabs>
      <w:spacing w:after="0" w:line="240" w:lineRule="auto"/>
      <w:jc w:val="right"/>
    </w:pPr>
    <w:r w:rsidRPr="006B6348">
      <w:rPr>
        <w:rFonts w:eastAsia="Calibri" w:cs="Arial"/>
        <w:caps/>
        <w:color w:val="DD6D28"/>
        <w:spacing w:val="26"/>
        <w:sz w:val="44"/>
      </w:rPr>
      <w:t>Fact Sheet</w:t>
    </w:r>
  </w:p>
  <w:p w:rsidR="007B2B64" w:rsidRDefault="007B2B64" w:rsidP="007B2B64">
    <w:pPr>
      <w:pStyle w:val="Header"/>
    </w:pPr>
    <w:r>
      <w:rPr>
        <w:noProof/>
        <w:lang w:eastAsia="en-AU"/>
      </w:rPr>
      <w:drawing>
        <wp:inline distT="0" distB="0" distL="0" distR="0" wp14:anchorId="2B617A8F" wp14:editId="55A78C73">
          <wp:extent cx="6210935" cy="60474"/>
          <wp:effectExtent l="0" t="0" r="0" b="3175"/>
          <wp:docPr id="41" name="Picture 41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10935" cy="6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2B64" w:rsidRDefault="007B2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b w:val="0"/>
        <w:i w:val="0"/>
      </w:rPr>
    </w:lvl>
  </w:abstractNum>
  <w:abstractNum w:abstractNumId="1" w15:restartNumberingAfterBreak="0">
    <w:nsid w:val="25363289"/>
    <w:multiLevelType w:val="hybridMultilevel"/>
    <w:tmpl w:val="0204AA70"/>
    <w:lvl w:ilvl="0" w:tplc="F5C0630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EEECE1" w:themeColor="background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4A6B"/>
    <w:multiLevelType w:val="multilevel"/>
    <w:tmpl w:val="475AD43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•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3" w15:restartNumberingAfterBreak="0">
    <w:nsid w:val="38055956"/>
    <w:multiLevelType w:val="multilevel"/>
    <w:tmpl w:val="F4DEA4FE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</w:rPr>
    </w:lvl>
    <w:lvl w:ilvl="1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4" w15:restartNumberingAfterBreak="0">
    <w:nsid w:val="382D46C1"/>
    <w:multiLevelType w:val="hybridMultilevel"/>
    <w:tmpl w:val="5762D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C0692"/>
    <w:multiLevelType w:val="hybridMultilevel"/>
    <w:tmpl w:val="71926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86287"/>
    <w:multiLevelType w:val="hybridMultilevel"/>
    <w:tmpl w:val="25268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F7D97"/>
    <w:multiLevelType w:val="hybridMultilevel"/>
    <w:tmpl w:val="6E705602"/>
    <w:lvl w:ilvl="0" w:tplc="F1560A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0485A"/>
    <w:multiLevelType w:val="hybridMultilevel"/>
    <w:tmpl w:val="EAEA9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E2"/>
    <w:rsid w:val="00005633"/>
    <w:rsid w:val="00071AD5"/>
    <w:rsid w:val="0009748B"/>
    <w:rsid w:val="000B3A34"/>
    <w:rsid w:val="001326FD"/>
    <w:rsid w:val="00184FFE"/>
    <w:rsid w:val="001D50D7"/>
    <w:rsid w:val="001E630D"/>
    <w:rsid w:val="0020318F"/>
    <w:rsid w:val="0026030D"/>
    <w:rsid w:val="00284DC9"/>
    <w:rsid w:val="002948E7"/>
    <w:rsid w:val="002A09BB"/>
    <w:rsid w:val="00344A22"/>
    <w:rsid w:val="003B2BB8"/>
    <w:rsid w:val="003D34FF"/>
    <w:rsid w:val="0045233A"/>
    <w:rsid w:val="00480EE2"/>
    <w:rsid w:val="0049459B"/>
    <w:rsid w:val="004B54CA"/>
    <w:rsid w:val="004E5CBF"/>
    <w:rsid w:val="004F32BB"/>
    <w:rsid w:val="00511112"/>
    <w:rsid w:val="00577F8F"/>
    <w:rsid w:val="005C15AD"/>
    <w:rsid w:val="005C3AA9"/>
    <w:rsid w:val="00621FC5"/>
    <w:rsid w:val="00632E3F"/>
    <w:rsid w:val="00637B02"/>
    <w:rsid w:val="00683A84"/>
    <w:rsid w:val="006A4CE7"/>
    <w:rsid w:val="006A77CF"/>
    <w:rsid w:val="006D3736"/>
    <w:rsid w:val="006E38E9"/>
    <w:rsid w:val="006E4651"/>
    <w:rsid w:val="006E6833"/>
    <w:rsid w:val="00764F2C"/>
    <w:rsid w:val="00780A63"/>
    <w:rsid w:val="00785261"/>
    <w:rsid w:val="007B0256"/>
    <w:rsid w:val="007B2B64"/>
    <w:rsid w:val="0083177B"/>
    <w:rsid w:val="00833F90"/>
    <w:rsid w:val="00880120"/>
    <w:rsid w:val="00890AD4"/>
    <w:rsid w:val="0089443F"/>
    <w:rsid w:val="008C62A9"/>
    <w:rsid w:val="009225F0"/>
    <w:rsid w:val="009316E3"/>
    <w:rsid w:val="0093462C"/>
    <w:rsid w:val="00953795"/>
    <w:rsid w:val="009708B7"/>
    <w:rsid w:val="00974189"/>
    <w:rsid w:val="009943B3"/>
    <w:rsid w:val="00A94C9D"/>
    <w:rsid w:val="00AA6B22"/>
    <w:rsid w:val="00AC4452"/>
    <w:rsid w:val="00AD506F"/>
    <w:rsid w:val="00B04ED8"/>
    <w:rsid w:val="00B21C81"/>
    <w:rsid w:val="00B228F3"/>
    <w:rsid w:val="00B75391"/>
    <w:rsid w:val="00B91E3E"/>
    <w:rsid w:val="00BA2DB9"/>
    <w:rsid w:val="00BB229E"/>
    <w:rsid w:val="00BB529E"/>
    <w:rsid w:val="00BE7148"/>
    <w:rsid w:val="00C32B0B"/>
    <w:rsid w:val="00C451D2"/>
    <w:rsid w:val="00C55063"/>
    <w:rsid w:val="00C84DD7"/>
    <w:rsid w:val="00CB528B"/>
    <w:rsid w:val="00CB5863"/>
    <w:rsid w:val="00CE60DD"/>
    <w:rsid w:val="00D10209"/>
    <w:rsid w:val="00D126B7"/>
    <w:rsid w:val="00D50C04"/>
    <w:rsid w:val="00D63109"/>
    <w:rsid w:val="00DA1325"/>
    <w:rsid w:val="00DA243A"/>
    <w:rsid w:val="00DA67A2"/>
    <w:rsid w:val="00E02166"/>
    <w:rsid w:val="00E273E4"/>
    <w:rsid w:val="00E330F6"/>
    <w:rsid w:val="00E41492"/>
    <w:rsid w:val="00E4702E"/>
    <w:rsid w:val="00E55307"/>
    <w:rsid w:val="00E662FE"/>
    <w:rsid w:val="00EC6D7A"/>
    <w:rsid w:val="00F30AFE"/>
    <w:rsid w:val="00F70759"/>
    <w:rsid w:val="00FD07C8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NumberLevel1">
    <w:name w:val="Number Level 1"/>
    <w:aliases w:val="N1"/>
    <w:basedOn w:val="Normal"/>
    <w:uiPriority w:val="1"/>
    <w:qFormat/>
    <w:rsid w:val="00480EE2"/>
    <w:pPr>
      <w:numPr>
        <w:numId w:val="1"/>
      </w:numPr>
      <w:spacing w:before="140" w:after="140" w:line="280" w:lineRule="atLeast"/>
    </w:pPr>
    <w:rPr>
      <w:rFonts w:eastAsia="Times New Roman" w:cs="Arial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480EE2"/>
    <w:pPr>
      <w:numPr>
        <w:ilvl w:val="1"/>
        <w:numId w:val="1"/>
      </w:numPr>
      <w:spacing w:before="140" w:after="140" w:line="280" w:lineRule="atLeast"/>
    </w:pPr>
    <w:rPr>
      <w:rFonts w:eastAsia="Times New Roman" w:cs="Arial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480EE2"/>
    <w:pPr>
      <w:numPr>
        <w:ilvl w:val="2"/>
        <w:numId w:val="1"/>
      </w:numPr>
      <w:spacing w:before="140" w:after="140" w:line="280" w:lineRule="atLeast"/>
    </w:pPr>
    <w:rPr>
      <w:rFonts w:eastAsia="Times New Roman" w:cs="Arial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480EE2"/>
    <w:pPr>
      <w:numPr>
        <w:ilvl w:val="3"/>
        <w:numId w:val="1"/>
      </w:numPr>
      <w:spacing w:after="140" w:line="280" w:lineRule="atLeast"/>
    </w:pPr>
    <w:rPr>
      <w:rFonts w:eastAsia="Times New Roman" w:cs="Arial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480EE2"/>
    <w:pPr>
      <w:numPr>
        <w:ilvl w:val="4"/>
        <w:numId w:val="1"/>
      </w:numPr>
      <w:spacing w:after="140" w:line="280" w:lineRule="atLeast"/>
    </w:pPr>
    <w:rPr>
      <w:rFonts w:eastAsia="Times New Roman" w:cs="Arial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480EE2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480EE2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480EE2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480EE2"/>
    <w:pPr>
      <w:numPr>
        <w:ilvl w:val="8"/>
      </w:numPr>
    </w:pPr>
  </w:style>
  <w:style w:type="character" w:customStyle="1" w:styleId="Dot1Char">
    <w:name w:val="Dot1 Char"/>
    <w:aliases w:val="DOT Char"/>
    <w:basedOn w:val="DefaultParagraphFont"/>
    <w:link w:val="Dot1"/>
    <w:uiPriority w:val="2"/>
    <w:locked/>
    <w:rsid w:val="00480EE2"/>
    <w:rPr>
      <w:rFonts w:ascii="Arial" w:hAnsi="Arial" w:cs="Arial"/>
    </w:rPr>
  </w:style>
  <w:style w:type="paragraph" w:customStyle="1" w:styleId="Dot1">
    <w:name w:val="Dot1"/>
    <w:aliases w:val="DOT"/>
    <w:basedOn w:val="Normal"/>
    <w:link w:val="Dot1Char"/>
    <w:uiPriority w:val="2"/>
    <w:qFormat/>
    <w:rsid w:val="00480EE2"/>
    <w:pPr>
      <w:numPr>
        <w:ilvl w:val="1"/>
        <w:numId w:val="2"/>
      </w:numPr>
      <w:spacing w:after="140" w:line="280" w:lineRule="atLeast"/>
    </w:pPr>
    <w:rPr>
      <w:rFonts w:cs="Arial"/>
    </w:rPr>
  </w:style>
  <w:style w:type="paragraph" w:customStyle="1" w:styleId="AdviceNumLevel1">
    <w:name w:val="AdviceNumLevel1"/>
    <w:aliases w:val="Advice N1"/>
    <w:basedOn w:val="NumberLevel1"/>
    <w:qFormat/>
    <w:rsid w:val="00480EE2"/>
  </w:style>
  <w:style w:type="character" w:styleId="Hyperlink">
    <w:name w:val="Hyperlink"/>
    <w:basedOn w:val="DefaultParagraphFont"/>
    <w:uiPriority w:val="99"/>
    <w:unhideWhenUsed/>
    <w:rsid w:val="00E021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5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0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0D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0D7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780A63"/>
    <w:pPr>
      <w:numPr>
        <w:numId w:val="11"/>
      </w:numPr>
      <w:spacing w:after="120" w:line="240" w:lineRule="auto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redress.gov.au" TargetMode="External"/><Relationship Id="rId13" Type="http://schemas.openxmlformats.org/officeDocument/2006/relationships/hyperlink" Target="https://mensline.org.a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dressPolicy@dss.gov.au" TargetMode="External"/><Relationship Id="rId12" Type="http://schemas.openxmlformats.org/officeDocument/2006/relationships/hyperlink" Target="https://www.suicidecallbackservice.org.a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1800respect.org.a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lifeline.org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yondblue.org.a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3627</Characters>
  <Application>Microsoft Office Word</Application>
  <DocSecurity>0</DocSecurity>
  <Lines>73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2023-06-07T23:45:00Z</dcterms:created>
  <dcterms:modified xsi:type="dcterms:W3CDTF">2023-06-08T04:21:00Z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21BA17A486164173AC1874F104A68F04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61F5F520504B0CE8C38DE1B43414BE2AD8B7549D</vt:lpwstr>
  </property>
  <property fmtid="{D5CDD505-2E9C-101B-9397-08002B2CF9AE}" pid="11" name="PM_OriginationTimeStamp">
    <vt:lpwstr>2023-06-08T04:21:18Z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9FFC9C6A952FD30DB20587DFC32A766D</vt:lpwstr>
  </property>
  <property fmtid="{D5CDD505-2E9C-101B-9397-08002B2CF9AE}" pid="21" name="PM_Hash_Salt">
    <vt:lpwstr>FE25A9AE5B1FA93831D2FCE6775F2AE4</vt:lpwstr>
  </property>
  <property fmtid="{D5CDD505-2E9C-101B-9397-08002B2CF9AE}" pid="22" name="PM_Hash_SHA1">
    <vt:lpwstr>0FB2C4DEF2F02F6EC06B56F709CF53DDFD0FEA2C</vt:lpwstr>
  </property>
  <property fmtid="{D5CDD505-2E9C-101B-9397-08002B2CF9AE}" pid="23" name="PM_OriginatorUserAccountName_SHA256">
    <vt:lpwstr>706C3A4FACA0FEF49870C0DFCC7418986923ED687728485ADD26711C87A74F58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