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BA35" w14:textId="77777777" w:rsidR="00E3204F" w:rsidRDefault="00E3204F" w:rsidP="00055E90">
      <w:pPr>
        <w:spacing w:after="0"/>
        <w:rPr>
          <w:b/>
          <w:u w:val="single"/>
        </w:rPr>
      </w:pPr>
    </w:p>
    <w:p w14:paraId="21CF5826" w14:textId="77777777" w:rsidR="00E3204F" w:rsidRDefault="00E3204F" w:rsidP="00055E90">
      <w:pPr>
        <w:spacing w:after="0"/>
        <w:rPr>
          <w:b/>
          <w:u w:val="single"/>
        </w:rPr>
      </w:pPr>
    </w:p>
    <w:p w14:paraId="2A757BEE" w14:textId="77777777" w:rsidR="003608E6" w:rsidRDefault="003608E6" w:rsidP="00055E90">
      <w:pPr>
        <w:spacing w:after="0"/>
        <w:rPr>
          <w:b/>
          <w:u w:val="single"/>
        </w:rPr>
      </w:pPr>
    </w:p>
    <w:p w14:paraId="78200FEE" w14:textId="77777777" w:rsidR="00E3204F" w:rsidRDefault="00E3204F" w:rsidP="00055E90">
      <w:pPr>
        <w:spacing w:after="0"/>
        <w:rPr>
          <w:b/>
          <w:u w:val="single"/>
        </w:rPr>
      </w:pPr>
    </w:p>
    <w:p w14:paraId="01101FB1" w14:textId="77777777" w:rsidR="00055E90" w:rsidRDefault="00055E90" w:rsidP="00055E90">
      <w:pPr>
        <w:spacing w:after="0"/>
        <w:rPr>
          <w:b/>
          <w:u w:val="single"/>
        </w:rPr>
      </w:pPr>
    </w:p>
    <w:p w14:paraId="629C7116" w14:textId="77777777" w:rsidR="00055E90" w:rsidRDefault="00055E90" w:rsidP="00055E90">
      <w:pPr>
        <w:spacing w:after="0"/>
        <w:rPr>
          <w:b/>
          <w:u w:val="single"/>
        </w:rPr>
      </w:pPr>
    </w:p>
    <w:p w14:paraId="7E9ACF8A" w14:textId="27679685" w:rsidR="00A15560" w:rsidRPr="00383974" w:rsidRDefault="00E3204F" w:rsidP="00383974">
      <w:pPr>
        <w:pStyle w:val="Heading1"/>
        <w:jc w:val="center"/>
        <w:rPr>
          <w:sz w:val="36"/>
          <w:szCs w:val="36"/>
        </w:rPr>
      </w:pPr>
      <w:r w:rsidRPr="00383974">
        <w:rPr>
          <w:sz w:val="36"/>
          <w:szCs w:val="36"/>
        </w:rPr>
        <w:t>Strategic Success Measures</w:t>
      </w:r>
      <w:r w:rsidR="00383974" w:rsidRPr="00383974">
        <w:rPr>
          <w:sz w:val="36"/>
          <w:szCs w:val="36"/>
        </w:rPr>
        <w:br/>
      </w:r>
      <w:r w:rsidR="00EA1E96" w:rsidRPr="00383974">
        <w:rPr>
          <w:sz w:val="36"/>
          <w:szCs w:val="36"/>
        </w:rPr>
        <w:t>December</w:t>
      </w:r>
      <w:r w:rsidR="00A15560" w:rsidRPr="00383974">
        <w:rPr>
          <w:sz w:val="36"/>
          <w:szCs w:val="36"/>
        </w:rPr>
        <w:t xml:space="preserve"> 202</w:t>
      </w:r>
      <w:r w:rsidR="00362CC3" w:rsidRPr="00383974">
        <w:rPr>
          <w:sz w:val="36"/>
          <w:szCs w:val="36"/>
        </w:rPr>
        <w:t>3</w:t>
      </w:r>
    </w:p>
    <w:sdt>
      <w:sdtPr>
        <w:rPr>
          <w:rFonts w:eastAsiaTheme="minorHAnsi" w:cstheme="minorBidi"/>
          <w:b w:val="0"/>
          <w:bCs w:val="0"/>
          <w:sz w:val="22"/>
          <w:szCs w:val="22"/>
          <w:lang w:bidi="ar-SA"/>
        </w:rPr>
        <w:id w:val="-4493235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61F4A5" w14:textId="77777777" w:rsidR="00E92A49" w:rsidRPr="00FC110A" w:rsidRDefault="00E92A49">
          <w:pPr>
            <w:pStyle w:val="TOCHeading"/>
          </w:pPr>
          <w:r w:rsidRPr="00FC110A">
            <w:t>Contents</w:t>
          </w:r>
        </w:p>
        <w:p w14:paraId="651A0329" w14:textId="05C7BDE9" w:rsidR="00EE56A1" w:rsidRDefault="00E92A49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E92A49">
            <w:fldChar w:fldCharType="begin"/>
          </w:r>
          <w:r w:rsidRPr="00E92A49">
            <w:instrText xml:space="preserve"> TOC \o "1-3" \h \z \u </w:instrText>
          </w:r>
          <w:r w:rsidRPr="00E92A49">
            <w:fldChar w:fldCharType="separate"/>
          </w:r>
          <w:hyperlink w:anchor="_Toc134524949" w:history="1">
            <w:r w:rsidR="00EE56A1" w:rsidRPr="00F57955">
              <w:rPr>
                <w:rStyle w:val="Hyperlink"/>
                <w:noProof/>
              </w:rPr>
              <w:t>Key Operating data: Redress Applications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_Toc134524949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2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31F83355" w14:textId="26034089" w:rsidR="00EE56A1" w:rsidRDefault="00383974">
          <w:pPr>
            <w:pStyle w:val="TOC1"/>
            <w:tabs>
              <w:tab w:val="left" w:pos="440"/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1" w:anchor="_Toc134524950" w:history="1">
            <w:r w:rsidR="00EE56A1" w:rsidRPr="00F57955">
              <w:rPr>
                <w:rStyle w:val="Hyperlink"/>
                <w:noProof/>
              </w:rPr>
              <w:t>1.</w:t>
            </w:r>
            <w:r w:rsidR="00C866E9">
              <w:rPr>
                <w:rFonts w:asciiTheme="minorHAnsi" w:eastAsiaTheme="minorEastAsia" w:hAnsiTheme="minorHAnsi"/>
                <w:noProof/>
                <w:lang w:eastAsia="en-AU"/>
              </w:rPr>
              <w:t xml:space="preserve"> </w:t>
            </w:r>
            <w:r w:rsidR="00EE56A1" w:rsidRPr="00F57955">
              <w:rPr>
                <w:rStyle w:val="Hyperlink"/>
                <w:noProof/>
              </w:rPr>
              <w:t>Survivor Experience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_Toc134524950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3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19D60BE3" w14:textId="290AA66A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2" w:anchor="_Toc134524951" w:history="1">
            <w:r w:rsidR="00EE56A1" w:rsidRPr="00F57955">
              <w:rPr>
                <w:rStyle w:val="Hyperlink"/>
                <w:noProof/>
              </w:rPr>
              <w:t>1a. Application timeliness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_Toc134524951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3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4392CC4C" w14:textId="0459946E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3" w:anchor="_Toc134524952" w:history="1">
            <w:r w:rsidR="00EE56A1" w:rsidRPr="00F57955">
              <w:rPr>
                <w:rStyle w:val="Hyperlink"/>
                <w:noProof/>
              </w:rPr>
              <w:t>1</w:t>
            </w:r>
            <w:r w:rsidR="00C866E9">
              <w:rPr>
                <w:rStyle w:val="Hyperlink"/>
                <w:noProof/>
              </w:rPr>
              <w:t>b. Survivor journey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_Toc134524952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4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71B4485D" w14:textId="1E789516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4" w:anchor="_Toc134524953" w:history="1">
            <w:r w:rsidR="00C866E9">
              <w:rPr>
                <w:rStyle w:val="Hyperlink"/>
                <w:noProof/>
              </w:rPr>
              <w:t>1c. Advance p</w:t>
            </w:r>
            <w:r w:rsidR="00EE56A1" w:rsidRPr="00F57955">
              <w:rPr>
                <w:rStyle w:val="Hyperlink"/>
                <w:noProof/>
              </w:rPr>
              <w:t>ayment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_Toc134524953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5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2C48FFF0" w14:textId="6473AAFE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5" w:anchor="_Toc134524954" w:history="1">
            <w:r w:rsidR="00C866E9">
              <w:rPr>
                <w:rStyle w:val="Hyperlink"/>
                <w:noProof/>
              </w:rPr>
              <w:t>1d. Redress p</w:t>
            </w:r>
            <w:r w:rsidR="00EE56A1" w:rsidRPr="00F57955">
              <w:rPr>
                <w:rStyle w:val="Hyperlink"/>
                <w:noProof/>
              </w:rPr>
              <w:t>ayment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_Toc134524954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6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078F6040" w14:textId="752FF1B2" w:rsidR="00EE56A1" w:rsidRDefault="00383974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6" w:anchor="_Toc134524955" w:history="1">
            <w:r w:rsidR="00EE56A1" w:rsidRPr="00F57955">
              <w:rPr>
                <w:rStyle w:val="Hyperlink"/>
                <w:noProof/>
              </w:rPr>
              <w:t>2. Health of the Scheme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_Toc134524955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7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226C245C" w14:textId="657E26CC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7" w:anchor="_Toc134524956" w:history="1">
            <w:r w:rsidR="00EE56A1" w:rsidRPr="00F57955">
              <w:rPr>
                <w:rStyle w:val="Hyperlink"/>
                <w:noProof/>
              </w:rPr>
              <w:t>2a. Survivor acceptance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_Toc134524956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7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29BB9E3D" w14:textId="75AF1425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8" w:anchor="_Toc134524957" w:history="1">
            <w:r w:rsidR="00EE56A1" w:rsidRPr="00F57955">
              <w:rPr>
                <w:rStyle w:val="Hyperlink"/>
                <w:noProof/>
              </w:rPr>
              <w:t>2b. Maintaining institution participation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_Toc134524957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8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1DB24235" w14:textId="412E3ABA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19" w:anchor="_Toc134524958" w:history="1">
            <w:r w:rsidR="00C866E9">
              <w:rPr>
                <w:rStyle w:val="Hyperlink"/>
                <w:noProof/>
              </w:rPr>
              <w:t>2c. Quality decision m</w:t>
            </w:r>
            <w:r w:rsidR="00EE56A1" w:rsidRPr="00F57955">
              <w:rPr>
                <w:rStyle w:val="Hyperlink"/>
                <w:noProof/>
              </w:rPr>
              <w:t>aking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_Toc134524958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9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5AA2BFFF" w14:textId="77E47CA1" w:rsidR="00EE56A1" w:rsidRDefault="00C866E9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>
            <w:rPr>
              <w:noProof/>
            </w:rPr>
            <w:t xml:space="preserve">3. </w:t>
          </w:r>
          <w:hyperlink r:id="rId20" w:anchor="_Toc134524959" w:history="1">
            <w:r w:rsidR="00EE56A1" w:rsidRPr="00F57955">
              <w:rPr>
                <w:rStyle w:val="Hyperlink"/>
                <w:noProof/>
              </w:rPr>
              <w:t>Equity of Access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_Toc134524959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10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30AC8430" w14:textId="2A2AE718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21" w:anchor="_Toc134524960" w:history="1">
            <w:r w:rsidR="00EE56A1" w:rsidRPr="00F57955">
              <w:rPr>
                <w:rStyle w:val="Hyperlink"/>
                <w:noProof/>
              </w:rPr>
              <w:t>3a. Scheme accessibility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_Toc134524960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10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6557E427" w14:textId="0B4A58AD" w:rsidR="00EE56A1" w:rsidRDefault="00383974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r:id="rId22" w:anchor="_Toc134524961" w:history="1">
            <w:r w:rsidR="00EE56A1" w:rsidRPr="00F57955">
              <w:rPr>
                <w:rStyle w:val="Hyperlink"/>
                <w:noProof/>
              </w:rPr>
              <w:t>3b. Support service accessibility</w:t>
            </w:r>
            <w:r w:rsidR="00EE56A1">
              <w:rPr>
                <w:noProof/>
                <w:webHidden/>
              </w:rPr>
              <w:tab/>
            </w:r>
            <w:r w:rsidR="00EE56A1">
              <w:rPr>
                <w:noProof/>
                <w:webHidden/>
              </w:rPr>
              <w:fldChar w:fldCharType="begin"/>
            </w:r>
            <w:r w:rsidR="00EE56A1">
              <w:rPr>
                <w:noProof/>
                <w:webHidden/>
              </w:rPr>
              <w:instrText xml:space="preserve"> PAGEREF _Toc134524961 \h </w:instrText>
            </w:r>
            <w:r w:rsidR="00EE56A1">
              <w:rPr>
                <w:noProof/>
                <w:webHidden/>
              </w:rPr>
            </w:r>
            <w:r w:rsidR="00EE56A1">
              <w:rPr>
                <w:noProof/>
                <w:webHidden/>
              </w:rPr>
              <w:fldChar w:fldCharType="separate"/>
            </w:r>
            <w:r w:rsidR="00684F57">
              <w:rPr>
                <w:noProof/>
                <w:webHidden/>
              </w:rPr>
              <w:t>12</w:t>
            </w:r>
            <w:r w:rsidR="00EE56A1">
              <w:rPr>
                <w:noProof/>
                <w:webHidden/>
              </w:rPr>
              <w:fldChar w:fldCharType="end"/>
            </w:r>
          </w:hyperlink>
        </w:p>
        <w:p w14:paraId="3C3EB325" w14:textId="651B21B3" w:rsidR="00E92A49" w:rsidRPr="00E92A49" w:rsidRDefault="00E92A49">
          <w:r w:rsidRPr="00E92A49">
            <w:rPr>
              <w:b/>
              <w:bCs/>
              <w:noProof/>
            </w:rPr>
            <w:fldChar w:fldCharType="end"/>
          </w:r>
        </w:p>
      </w:sdtContent>
    </w:sdt>
    <w:p w14:paraId="4C6B6FA7" w14:textId="77777777" w:rsidR="0029281F" w:rsidRDefault="0029281F" w:rsidP="00055E90">
      <w:pPr>
        <w:spacing w:after="0"/>
      </w:pPr>
    </w:p>
    <w:p w14:paraId="50A73202" w14:textId="77777777" w:rsidR="0029281F" w:rsidRDefault="0029281F" w:rsidP="00055E90">
      <w:pPr>
        <w:spacing w:after="0"/>
      </w:pPr>
    </w:p>
    <w:p w14:paraId="3936567C" w14:textId="77777777" w:rsidR="0029281F" w:rsidRDefault="0029281F" w:rsidP="00055E90">
      <w:pPr>
        <w:spacing w:after="0"/>
      </w:pPr>
    </w:p>
    <w:p w14:paraId="74A0B221" w14:textId="77777777" w:rsidR="0029281F" w:rsidRDefault="0029281F" w:rsidP="00055E90">
      <w:pPr>
        <w:spacing w:after="0"/>
      </w:pPr>
    </w:p>
    <w:p w14:paraId="53DE8915" w14:textId="77777777" w:rsidR="0029281F" w:rsidRDefault="0029281F" w:rsidP="00055E90">
      <w:pPr>
        <w:spacing w:after="0"/>
      </w:pPr>
    </w:p>
    <w:p w14:paraId="1B3DD674" w14:textId="77777777" w:rsidR="0029281F" w:rsidRDefault="0029281F" w:rsidP="00055E90">
      <w:pPr>
        <w:spacing w:after="0"/>
      </w:pPr>
    </w:p>
    <w:p w14:paraId="2E58E23B" w14:textId="77777777" w:rsidR="0029281F" w:rsidRDefault="0029281F" w:rsidP="00055E90">
      <w:pPr>
        <w:spacing w:after="0"/>
      </w:pPr>
    </w:p>
    <w:p w14:paraId="22EBACDB" w14:textId="77777777" w:rsidR="0029281F" w:rsidRDefault="0029281F" w:rsidP="00055E90">
      <w:pPr>
        <w:spacing w:after="0"/>
      </w:pPr>
    </w:p>
    <w:p w14:paraId="4653029C" w14:textId="77777777" w:rsidR="0029281F" w:rsidRDefault="0029281F" w:rsidP="00055E90">
      <w:pPr>
        <w:spacing w:after="0"/>
      </w:pPr>
    </w:p>
    <w:p w14:paraId="7997E539" w14:textId="77777777" w:rsidR="00E3204F" w:rsidRDefault="00E3204F" w:rsidP="00055E90">
      <w:pPr>
        <w:spacing w:after="0"/>
      </w:pPr>
    </w:p>
    <w:p w14:paraId="5341B1A5" w14:textId="77777777" w:rsidR="00E3204F" w:rsidRDefault="00E3204F" w:rsidP="00055E90">
      <w:pPr>
        <w:spacing w:after="0"/>
      </w:pPr>
    </w:p>
    <w:p w14:paraId="1A48DD30" w14:textId="77777777" w:rsidR="00356792" w:rsidRDefault="00356792" w:rsidP="00055E90">
      <w:pPr>
        <w:spacing w:after="0"/>
      </w:pPr>
    </w:p>
    <w:p w14:paraId="785A3088" w14:textId="77777777" w:rsidR="00055E90" w:rsidRDefault="00055E90" w:rsidP="00055E90">
      <w:pPr>
        <w:spacing w:after="0"/>
        <w:sectPr w:rsidR="00055E90" w:rsidSect="00540D21">
          <w:headerReference w:type="default" r:id="rId23"/>
          <w:footerReference w:type="default" r:id="rId2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704D727" w14:textId="77777777" w:rsidR="00055E90" w:rsidRDefault="00055E90" w:rsidP="00055E90">
      <w:pPr>
        <w:spacing w:after="0"/>
      </w:pPr>
    </w:p>
    <w:p w14:paraId="4FBED5D9" w14:textId="77777777" w:rsidR="00055E90" w:rsidRDefault="00055E90" w:rsidP="00055E90">
      <w:pPr>
        <w:spacing w:after="0"/>
      </w:pPr>
    </w:p>
    <w:p w14:paraId="671EC823" w14:textId="77777777" w:rsidR="00055E90" w:rsidRDefault="00055E90" w:rsidP="00055E90">
      <w:pPr>
        <w:spacing w:after="0"/>
      </w:pPr>
    </w:p>
    <w:p w14:paraId="22F0CC8B" w14:textId="77777777" w:rsidR="00356792" w:rsidRDefault="00356792" w:rsidP="00055E90">
      <w:pPr>
        <w:spacing w:after="0"/>
      </w:pPr>
    </w:p>
    <w:p w14:paraId="0AE3C492" w14:textId="77777777" w:rsidR="003608E6" w:rsidRDefault="003608E6" w:rsidP="00055E90">
      <w:pPr>
        <w:spacing w:after="0"/>
      </w:pPr>
    </w:p>
    <w:p w14:paraId="5EF8C0DF" w14:textId="77777777" w:rsidR="004E66DB" w:rsidRDefault="004E66DB" w:rsidP="00E92A49">
      <w:pPr>
        <w:pStyle w:val="Heading1"/>
        <w:spacing w:before="0"/>
        <w:rPr>
          <w:color w:val="E36C0A" w:themeColor="accent6" w:themeShade="BF"/>
          <w:sz w:val="36"/>
        </w:rPr>
      </w:pPr>
    </w:p>
    <w:p w14:paraId="080C0ED2" w14:textId="799688A6" w:rsidR="000B5D5A" w:rsidRPr="00FC110A" w:rsidRDefault="000B5D5A" w:rsidP="009F756F">
      <w:pPr>
        <w:pStyle w:val="Heading1"/>
        <w:spacing w:before="0" w:after="480"/>
        <w:contextualSpacing w:val="0"/>
        <w:rPr>
          <w:sz w:val="36"/>
        </w:rPr>
      </w:pPr>
      <w:bookmarkStart w:id="0" w:name="_Toc134524949"/>
      <w:r w:rsidRPr="00FC110A">
        <w:rPr>
          <w:sz w:val="36"/>
        </w:rPr>
        <w:t>Key Operating data: Redress Applications</w:t>
      </w:r>
      <w:bookmarkEnd w:id="0"/>
      <w:r w:rsidRPr="00FC110A">
        <w:rPr>
          <w:sz w:val="36"/>
        </w:rPr>
        <w:t xml:space="preserve"> </w:t>
      </w:r>
    </w:p>
    <w:p w14:paraId="71E7DEC0" w14:textId="3897C2DA" w:rsidR="00DD4118" w:rsidRPr="009F756F" w:rsidRDefault="00CF25DC" w:rsidP="009F756F">
      <w:r>
        <w:rPr>
          <w:sz w:val="24"/>
          <w:szCs w:val="28"/>
        </w:rPr>
        <w:t xml:space="preserve">As </w:t>
      </w:r>
      <w:proofErr w:type="gramStart"/>
      <w:r w:rsidRPr="008B11FF">
        <w:rPr>
          <w:sz w:val="24"/>
          <w:szCs w:val="28"/>
        </w:rPr>
        <w:t>at</w:t>
      </w:r>
      <w:proofErr w:type="gramEnd"/>
      <w:r w:rsidRPr="008B11FF">
        <w:rPr>
          <w:sz w:val="24"/>
          <w:szCs w:val="28"/>
        </w:rPr>
        <w:t xml:space="preserve"> 29 December 2023, </w:t>
      </w:r>
      <w:r w:rsidRPr="008B11FF">
        <w:rPr>
          <w:b/>
          <w:sz w:val="24"/>
          <w:szCs w:val="28"/>
        </w:rPr>
        <w:t>35,</w:t>
      </w:r>
      <w:r>
        <w:rPr>
          <w:b/>
          <w:sz w:val="24"/>
          <w:szCs w:val="28"/>
        </w:rPr>
        <w:t>026</w:t>
      </w:r>
      <w:r w:rsidRPr="00687FF2">
        <w:rPr>
          <w:b/>
          <w:sz w:val="24"/>
          <w:szCs w:val="28"/>
        </w:rPr>
        <w:t xml:space="preserve"> </w:t>
      </w:r>
      <w:r w:rsidRPr="00687FF2">
        <w:rPr>
          <w:sz w:val="24"/>
          <w:szCs w:val="28"/>
        </w:rPr>
        <w:t>applications</w:t>
      </w:r>
      <w:r>
        <w:rPr>
          <w:sz w:val="24"/>
          <w:szCs w:val="28"/>
        </w:rPr>
        <w:t xml:space="preserve"> had been received by the Scheme. Of these: </w:t>
      </w:r>
    </w:p>
    <w:p w14:paraId="67594D61" w14:textId="2E4151CB" w:rsidR="002D5304" w:rsidRPr="00934BF0" w:rsidRDefault="00687FF2" w:rsidP="00055E90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8B11FF">
        <w:rPr>
          <w:b/>
          <w:sz w:val="24"/>
        </w:rPr>
        <w:t>1</w:t>
      </w:r>
      <w:r w:rsidR="008B11FF" w:rsidRPr="008B11FF">
        <w:rPr>
          <w:b/>
          <w:sz w:val="24"/>
        </w:rPr>
        <w:t>4</w:t>
      </w:r>
      <w:r w:rsidRPr="00934BF0">
        <w:rPr>
          <w:b/>
          <w:sz w:val="24"/>
        </w:rPr>
        <w:t>,</w:t>
      </w:r>
      <w:r w:rsidR="008B11FF" w:rsidRPr="00934BF0">
        <w:rPr>
          <w:b/>
          <w:sz w:val="24"/>
        </w:rPr>
        <w:t>805</w:t>
      </w:r>
      <w:r w:rsidR="00337A4F" w:rsidRPr="00934BF0">
        <w:rPr>
          <w:sz w:val="24"/>
        </w:rPr>
        <w:t xml:space="preserve"> applications were</w:t>
      </w:r>
      <w:r w:rsidR="002D5304" w:rsidRPr="00934BF0">
        <w:rPr>
          <w:sz w:val="24"/>
        </w:rPr>
        <w:t xml:space="preserve"> finalised</w:t>
      </w:r>
      <w:r w:rsidR="00D4320E" w:rsidRPr="00934BF0">
        <w:rPr>
          <w:sz w:val="24"/>
        </w:rPr>
        <w:t xml:space="preserve"> (</w:t>
      </w:r>
      <w:r w:rsidR="00D4320E" w:rsidRPr="00934BF0">
        <w:rPr>
          <w:b/>
          <w:sz w:val="24"/>
        </w:rPr>
        <w:t>1</w:t>
      </w:r>
      <w:r w:rsidR="008B11FF" w:rsidRPr="00934BF0">
        <w:rPr>
          <w:b/>
          <w:sz w:val="24"/>
        </w:rPr>
        <w:t>5</w:t>
      </w:r>
      <w:r w:rsidR="00D4320E" w:rsidRPr="00934BF0">
        <w:rPr>
          <w:b/>
          <w:sz w:val="24"/>
        </w:rPr>
        <w:t>,</w:t>
      </w:r>
      <w:r w:rsidR="008B11FF" w:rsidRPr="00934BF0">
        <w:rPr>
          <w:b/>
          <w:sz w:val="24"/>
        </w:rPr>
        <w:t>901</w:t>
      </w:r>
      <w:r w:rsidR="00D4320E" w:rsidRPr="00934BF0">
        <w:rPr>
          <w:sz w:val="24"/>
        </w:rPr>
        <w:t xml:space="preserve"> outcomes have been issued to applicants)</w:t>
      </w:r>
    </w:p>
    <w:p w14:paraId="125731EB" w14:textId="24C429C5" w:rsidR="008F288C" w:rsidRPr="00934BF0" w:rsidRDefault="008F288C" w:rsidP="00055E90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34BF0">
        <w:rPr>
          <w:sz w:val="24"/>
        </w:rPr>
        <w:t xml:space="preserve">Since the start of the Scheme, </w:t>
      </w:r>
      <w:r w:rsidRPr="00934BF0">
        <w:rPr>
          <w:b/>
          <w:sz w:val="24"/>
        </w:rPr>
        <w:t>1</w:t>
      </w:r>
      <w:r w:rsidR="008B11FF" w:rsidRPr="00934BF0">
        <w:rPr>
          <w:b/>
          <w:sz w:val="24"/>
        </w:rPr>
        <w:t>3</w:t>
      </w:r>
      <w:r w:rsidRPr="00934BF0">
        <w:rPr>
          <w:b/>
          <w:sz w:val="24"/>
        </w:rPr>
        <w:t>,</w:t>
      </w:r>
      <w:r w:rsidR="008B11FF" w:rsidRPr="00934BF0">
        <w:rPr>
          <w:b/>
          <w:sz w:val="24"/>
        </w:rPr>
        <w:t>969</w:t>
      </w:r>
      <w:r w:rsidR="00337A4F" w:rsidRPr="00934BF0">
        <w:rPr>
          <w:sz w:val="24"/>
        </w:rPr>
        <w:t xml:space="preserve"> payments were</w:t>
      </w:r>
      <w:r w:rsidRPr="00934BF0">
        <w:rPr>
          <w:sz w:val="24"/>
        </w:rPr>
        <w:t xml:space="preserve"> made totalling approximately </w:t>
      </w:r>
      <w:r w:rsidRPr="00934BF0">
        <w:rPr>
          <w:b/>
          <w:sz w:val="24"/>
        </w:rPr>
        <w:t>$1</w:t>
      </w:r>
      <w:r w:rsidR="00EA6CCD">
        <w:rPr>
          <w:b/>
          <w:sz w:val="24"/>
        </w:rPr>
        <w:t>.24</w:t>
      </w:r>
      <w:r w:rsidR="009C7E33">
        <w:rPr>
          <w:b/>
          <w:sz w:val="24"/>
        </w:rPr>
        <w:t> </w:t>
      </w:r>
      <w:r w:rsidR="00EA6CCD">
        <w:rPr>
          <w:b/>
          <w:sz w:val="24"/>
        </w:rPr>
        <w:t>b</w:t>
      </w:r>
      <w:r w:rsidRPr="00934BF0">
        <w:rPr>
          <w:b/>
          <w:sz w:val="24"/>
        </w:rPr>
        <w:t>illion</w:t>
      </w:r>
      <w:r w:rsidRPr="00934BF0">
        <w:rPr>
          <w:sz w:val="24"/>
        </w:rPr>
        <w:t xml:space="preserve">, with an average payment amount of </w:t>
      </w:r>
      <w:r w:rsidRPr="00934BF0">
        <w:rPr>
          <w:b/>
          <w:sz w:val="24"/>
        </w:rPr>
        <w:t>$8</w:t>
      </w:r>
      <w:r w:rsidR="00934BF0" w:rsidRPr="00934BF0">
        <w:rPr>
          <w:b/>
          <w:sz w:val="24"/>
        </w:rPr>
        <w:t>9</w:t>
      </w:r>
      <w:r w:rsidRPr="00934BF0">
        <w:rPr>
          <w:b/>
          <w:sz w:val="24"/>
        </w:rPr>
        <w:t>,</w:t>
      </w:r>
      <w:r w:rsidR="00934BF0" w:rsidRPr="00934BF0">
        <w:rPr>
          <w:b/>
          <w:sz w:val="24"/>
        </w:rPr>
        <w:t>003</w:t>
      </w:r>
      <w:r w:rsidRPr="00934BF0">
        <w:rPr>
          <w:sz w:val="24"/>
        </w:rPr>
        <w:t>.</w:t>
      </w:r>
    </w:p>
    <w:p w14:paraId="4E058E87" w14:textId="7AEAD65F" w:rsidR="002D5304" w:rsidRPr="00934BF0" w:rsidRDefault="009E3186" w:rsidP="00055E90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934BF0">
        <w:rPr>
          <w:b/>
          <w:sz w:val="24"/>
        </w:rPr>
        <w:t>1</w:t>
      </w:r>
      <w:r w:rsidR="00550746" w:rsidRPr="00934BF0">
        <w:rPr>
          <w:b/>
          <w:sz w:val="24"/>
        </w:rPr>
        <w:t>8</w:t>
      </w:r>
      <w:r w:rsidRPr="00934BF0">
        <w:rPr>
          <w:b/>
          <w:sz w:val="24"/>
        </w:rPr>
        <w:t>,</w:t>
      </w:r>
      <w:r w:rsidR="00550746" w:rsidRPr="00934BF0">
        <w:rPr>
          <w:b/>
          <w:sz w:val="24"/>
        </w:rPr>
        <w:t>905</w:t>
      </w:r>
      <w:r w:rsidR="00337A4F" w:rsidRPr="00934BF0">
        <w:rPr>
          <w:sz w:val="24"/>
        </w:rPr>
        <w:t xml:space="preserve"> applications were</w:t>
      </w:r>
      <w:r w:rsidR="002D5304" w:rsidRPr="00934BF0">
        <w:rPr>
          <w:sz w:val="24"/>
        </w:rPr>
        <w:t xml:space="preserve"> on hand being </w:t>
      </w:r>
      <w:proofErr w:type="gramStart"/>
      <w:r w:rsidR="002D5304" w:rsidRPr="00934BF0">
        <w:rPr>
          <w:sz w:val="24"/>
        </w:rPr>
        <w:t>processed</w:t>
      </w:r>
      <w:proofErr w:type="gramEnd"/>
    </w:p>
    <w:p w14:paraId="4639AE8E" w14:textId="06626BC4" w:rsidR="002D5304" w:rsidRPr="00550746" w:rsidRDefault="00550746" w:rsidP="00D4320E">
      <w:pPr>
        <w:pStyle w:val="ListParagraph"/>
        <w:numPr>
          <w:ilvl w:val="1"/>
          <w:numId w:val="2"/>
        </w:numPr>
        <w:spacing w:after="0"/>
        <w:rPr>
          <w:sz w:val="24"/>
        </w:rPr>
      </w:pPr>
      <w:r w:rsidRPr="00550746">
        <w:rPr>
          <w:b/>
          <w:sz w:val="24"/>
        </w:rPr>
        <w:t>961</w:t>
      </w:r>
      <w:r w:rsidR="002D5304" w:rsidRPr="00550746">
        <w:rPr>
          <w:b/>
          <w:sz w:val="24"/>
        </w:rPr>
        <w:t xml:space="preserve"> </w:t>
      </w:r>
      <w:r w:rsidR="00337A4F" w:rsidRPr="00550746">
        <w:rPr>
          <w:sz w:val="24"/>
        </w:rPr>
        <w:t>offers had</w:t>
      </w:r>
      <w:r w:rsidR="002D5304" w:rsidRPr="00550746">
        <w:rPr>
          <w:sz w:val="24"/>
        </w:rPr>
        <w:t xml:space="preserve"> been made and are awaiting an applicant’s </w:t>
      </w:r>
      <w:proofErr w:type="gramStart"/>
      <w:r w:rsidR="002D5304" w:rsidRPr="00550746">
        <w:rPr>
          <w:sz w:val="24"/>
        </w:rPr>
        <w:t>decision</w:t>
      </w:r>
      <w:proofErr w:type="gramEnd"/>
      <w:r w:rsidR="002D5304" w:rsidRPr="00550746">
        <w:rPr>
          <w:sz w:val="24"/>
        </w:rPr>
        <w:t xml:space="preserve"> </w:t>
      </w:r>
    </w:p>
    <w:p w14:paraId="2DEA4B70" w14:textId="3B5395B5" w:rsidR="002D5304" w:rsidRPr="00550746" w:rsidRDefault="00550746" w:rsidP="00D4320E">
      <w:pPr>
        <w:pStyle w:val="ListParagraph"/>
        <w:numPr>
          <w:ilvl w:val="1"/>
          <w:numId w:val="2"/>
        </w:numPr>
        <w:spacing w:after="0"/>
        <w:rPr>
          <w:sz w:val="24"/>
        </w:rPr>
      </w:pPr>
      <w:r w:rsidRPr="00550746">
        <w:rPr>
          <w:b/>
          <w:sz w:val="24"/>
        </w:rPr>
        <w:t>996</w:t>
      </w:r>
      <w:r w:rsidR="002D5304" w:rsidRPr="00550746">
        <w:rPr>
          <w:b/>
          <w:sz w:val="24"/>
        </w:rPr>
        <w:t xml:space="preserve"> </w:t>
      </w:r>
      <w:r w:rsidR="00337A4F" w:rsidRPr="00550746">
        <w:rPr>
          <w:sz w:val="24"/>
        </w:rPr>
        <w:t>applications we</w:t>
      </w:r>
      <w:r w:rsidR="002D5304" w:rsidRPr="00550746">
        <w:rPr>
          <w:sz w:val="24"/>
        </w:rPr>
        <w:t xml:space="preserve">re with institutions to provide </w:t>
      </w:r>
      <w:proofErr w:type="gramStart"/>
      <w:r w:rsidR="002D5304" w:rsidRPr="00550746">
        <w:rPr>
          <w:sz w:val="24"/>
        </w:rPr>
        <w:t>information</w:t>
      </w:r>
      <w:proofErr w:type="gramEnd"/>
    </w:p>
    <w:p w14:paraId="105CD6F7" w14:textId="3D474FA8" w:rsidR="002D5304" w:rsidRPr="00550746" w:rsidRDefault="00550746" w:rsidP="00D4320E">
      <w:pPr>
        <w:pStyle w:val="ListParagraph"/>
        <w:numPr>
          <w:ilvl w:val="1"/>
          <w:numId w:val="2"/>
        </w:numPr>
        <w:spacing w:after="0"/>
        <w:rPr>
          <w:sz w:val="24"/>
        </w:rPr>
      </w:pPr>
      <w:r w:rsidRPr="00550746">
        <w:rPr>
          <w:b/>
          <w:sz w:val="24"/>
        </w:rPr>
        <w:t>5</w:t>
      </w:r>
      <w:r w:rsidR="009E3186" w:rsidRPr="00550746">
        <w:rPr>
          <w:b/>
          <w:sz w:val="24"/>
        </w:rPr>
        <w:t>,</w:t>
      </w:r>
      <w:r w:rsidRPr="00550746">
        <w:rPr>
          <w:b/>
          <w:sz w:val="24"/>
        </w:rPr>
        <w:t>264</w:t>
      </w:r>
      <w:r w:rsidR="00337A4F" w:rsidRPr="00550746">
        <w:rPr>
          <w:sz w:val="24"/>
        </w:rPr>
        <w:t xml:space="preserve"> applications we</w:t>
      </w:r>
      <w:r w:rsidR="002D5304" w:rsidRPr="00550746">
        <w:rPr>
          <w:sz w:val="24"/>
        </w:rPr>
        <w:t>re o</w:t>
      </w:r>
      <w:r w:rsidR="00F22D7A" w:rsidRPr="00550746">
        <w:rPr>
          <w:sz w:val="24"/>
        </w:rPr>
        <w:t>n hold</w:t>
      </w:r>
      <w:r w:rsidR="002D5304" w:rsidRPr="00550746">
        <w:rPr>
          <w:sz w:val="24"/>
        </w:rPr>
        <w:t xml:space="preserve"> </w:t>
      </w:r>
      <w:r w:rsidR="00F22D7A" w:rsidRPr="00550746">
        <w:rPr>
          <w:sz w:val="24"/>
        </w:rPr>
        <w:t>(for reasons such as at the request of the applicant, due to a non-participating institution, or difficulty in contacting the applicant)</w:t>
      </w:r>
    </w:p>
    <w:p w14:paraId="7CA5E2E6" w14:textId="33F4E1A4" w:rsidR="00D4320E" w:rsidRPr="00550746" w:rsidRDefault="00550746" w:rsidP="00ED382F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550746">
        <w:rPr>
          <w:b/>
          <w:sz w:val="24"/>
        </w:rPr>
        <w:t>11</w:t>
      </w:r>
      <w:r w:rsidR="009E3186" w:rsidRPr="00550746">
        <w:rPr>
          <w:b/>
          <w:sz w:val="24"/>
        </w:rPr>
        <w:t>,</w:t>
      </w:r>
      <w:r w:rsidRPr="00550746">
        <w:rPr>
          <w:b/>
          <w:sz w:val="24"/>
        </w:rPr>
        <w:t>684</w:t>
      </w:r>
      <w:r w:rsidR="00D4320E" w:rsidRPr="00550746">
        <w:rPr>
          <w:b/>
          <w:sz w:val="24"/>
        </w:rPr>
        <w:t xml:space="preserve"> </w:t>
      </w:r>
      <w:r w:rsidR="00337A4F" w:rsidRPr="00550746">
        <w:rPr>
          <w:sz w:val="24"/>
        </w:rPr>
        <w:t>applications we</w:t>
      </w:r>
      <w:r w:rsidR="00D4320E" w:rsidRPr="00550746">
        <w:rPr>
          <w:sz w:val="24"/>
        </w:rPr>
        <w:t>re in progress:</w:t>
      </w:r>
    </w:p>
    <w:p w14:paraId="382FA728" w14:textId="0A41820A" w:rsidR="00D4320E" w:rsidRPr="00550746" w:rsidRDefault="00550746" w:rsidP="00EA044D">
      <w:pPr>
        <w:pStyle w:val="ListParagraph"/>
        <w:numPr>
          <w:ilvl w:val="0"/>
          <w:numId w:val="17"/>
        </w:numPr>
        <w:spacing w:after="0"/>
        <w:rPr>
          <w:b/>
          <w:sz w:val="24"/>
        </w:rPr>
      </w:pPr>
      <w:r w:rsidRPr="00550746">
        <w:rPr>
          <w:b/>
          <w:sz w:val="24"/>
        </w:rPr>
        <w:t>9</w:t>
      </w:r>
      <w:r w:rsidR="009E3186" w:rsidRPr="00550746">
        <w:rPr>
          <w:b/>
          <w:sz w:val="24"/>
        </w:rPr>
        <w:t>,</w:t>
      </w:r>
      <w:r w:rsidRPr="00550746">
        <w:rPr>
          <w:b/>
          <w:sz w:val="24"/>
        </w:rPr>
        <w:t>443</w:t>
      </w:r>
      <w:r w:rsidR="00D4320E" w:rsidRPr="00550746">
        <w:rPr>
          <w:b/>
          <w:sz w:val="24"/>
        </w:rPr>
        <w:t xml:space="preserve"> </w:t>
      </w:r>
      <w:r w:rsidR="00337A4F" w:rsidRPr="00550746">
        <w:rPr>
          <w:sz w:val="24"/>
        </w:rPr>
        <w:t>applications we</w:t>
      </w:r>
      <w:r w:rsidR="00D4320E" w:rsidRPr="00550746">
        <w:rPr>
          <w:sz w:val="24"/>
        </w:rPr>
        <w:t xml:space="preserve">re able to be </w:t>
      </w:r>
      <w:proofErr w:type="gramStart"/>
      <w:r w:rsidR="00D4320E" w:rsidRPr="00550746">
        <w:rPr>
          <w:sz w:val="24"/>
        </w:rPr>
        <w:t>actioned</w:t>
      </w:r>
      <w:proofErr w:type="gramEnd"/>
    </w:p>
    <w:p w14:paraId="5A24F8C5" w14:textId="0DF5C4D9" w:rsidR="00D4320E" w:rsidRPr="00550746" w:rsidRDefault="009E3186" w:rsidP="00EA044D">
      <w:pPr>
        <w:pStyle w:val="ListParagraph"/>
        <w:numPr>
          <w:ilvl w:val="0"/>
          <w:numId w:val="17"/>
        </w:numPr>
        <w:spacing w:after="0"/>
        <w:rPr>
          <w:b/>
          <w:sz w:val="24"/>
        </w:rPr>
      </w:pPr>
      <w:r w:rsidRPr="00550746">
        <w:rPr>
          <w:b/>
          <w:sz w:val="24"/>
        </w:rPr>
        <w:t>2,</w:t>
      </w:r>
      <w:r w:rsidR="00550746" w:rsidRPr="00550746">
        <w:rPr>
          <w:b/>
          <w:sz w:val="24"/>
        </w:rPr>
        <w:t>241</w:t>
      </w:r>
      <w:r w:rsidR="00D4320E" w:rsidRPr="00550746">
        <w:rPr>
          <w:b/>
          <w:sz w:val="24"/>
        </w:rPr>
        <w:t xml:space="preserve"> </w:t>
      </w:r>
      <w:r w:rsidR="00337A4F" w:rsidRPr="00550746">
        <w:rPr>
          <w:sz w:val="24"/>
        </w:rPr>
        <w:t>applications we</w:t>
      </w:r>
      <w:r w:rsidR="00D4320E" w:rsidRPr="00550746">
        <w:rPr>
          <w:sz w:val="24"/>
        </w:rPr>
        <w:t>re unable to be actioned</w:t>
      </w:r>
      <w:r w:rsidR="00F22D7A" w:rsidRPr="00550746">
        <w:rPr>
          <w:sz w:val="24"/>
        </w:rPr>
        <w:t xml:space="preserve"> (for reasons such as awaiting the applicant to contact the Scheme or awaiting more information)</w:t>
      </w:r>
    </w:p>
    <w:p w14:paraId="259CFC25" w14:textId="6FD546E7" w:rsidR="008F288C" w:rsidRPr="009F756F" w:rsidRDefault="00550746" w:rsidP="009F756F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550746">
        <w:rPr>
          <w:b/>
          <w:sz w:val="24"/>
        </w:rPr>
        <w:t>1,316</w:t>
      </w:r>
      <w:r w:rsidR="00337A4F" w:rsidRPr="00550746">
        <w:rPr>
          <w:sz w:val="24"/>
        </w:rPr>
        <w:t xml:space="preserve"> applications had</w:t>
      </w:r>
      <w:r w:rsidR="002D5304" w:rsidRPr="00550746">
        <w:rPr>
          <w:sz w:val="24"/>
        </w:rPr>
        <w:t xml:space="preserve"> been </w:t>
      </w:r>
      <w:proofErr w:type="gramStart"/>
      <w:r w:rsidR="002D5304" w:rsidRPr="00550746">
        <w:rPr>
          <w:sz w:val="24"/>
        </w:rPr>
        <w:t>withdrawn</w:t>
      </w:r>
      <w:proofErr w:type="gramEnd"/>
    </w:p>
    <w:p w14:paraId="313BA189" w14:textId="7A78431D" w:rsidR="008F288C" w:rsidRPr="00CA0F43" w:rsidRDefault="00CA0F43" w:rsidP="008F288C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CA0F43">
        <w:rPr>
          <w:b/>
          <w:sz w:val="24"/>
        </w:rPr>
        <w:t>591</w:t>
      </w:r>
      <w:r w:rsidR="008F288C" w:rsidRPr="00CA0F43">
        <w:rPr>
          <w:sz w:val="24"/>
        </w:rPr>
        <w:t xml:space="preserve"> </w:t>
      </w:r>
      <w:r w:rsidR="00337A4F" w:rsidRPr="00CA0F43">
        <w:rPr>
          <w:sz w:val="24"/>
        </w:rPr>
        <w:t>reviews had</w:t>
      </w:r>
      <w:r w:rsidR="008F288C" w:rsidRPr="00CA0F43">
        <w:rPr>
          <w:sz w:val="24"/>
        </w:rPr>
        <w:t xml:space="preserve"> been </w:t>
      </w:r>
      <w:proofErr w:type="gramStart"/>
      <w:r w:rsidR="008F288C" w:rsidRPr="00CA0F43">
        <w:rPr>
          <w:sz w:val="24"/>
        </w:rPr>
        <w:t>requested</w:t>
      </w:r>
      <w:proofErr w:type="gramEnd"/>
    </w:p>
    <w:p w14:paraId="17B382BA" w14:textId="3C003DEB" w:rsidR="008F288C" w:rsidRPr="009F756F" w:rsidRDefault="00934BF0" w:rsidP="009F756F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934BF0">
        <w:rPr>
          <w:b/>
          <w:sz w:val="24"/>
        </w:rPr>
        <w:t>2,238</w:t>
      </w:r>
      <w:r w:rsidR="00337A4F" w:rsidRPr="00934BF0">
        <w:rPr>
          <w:sz w:val="24"/>
        </w:rPr>
        <w:t xml:space="preserve"> advance payments had</w:t>
      </w:r>
      <w:r w:rsidR="008F288C" w:rsidRPr="00934BF0">
        <w:rPr>
          <w:sz w:val="24"/>
        </w:rPr>
        <w:t xml:space="preserve"> been </w:t>
      </w:r>
      <w:proofErr w:type="gramStart"/>
      <w:r w:rsidR="008F288C" w:rsidRPr="00934BF0">
        <w:rPr>
          <w:sz w:val="24"/>
        </w:rPr>
        <w:t>made</w:t>
      </w:r>
      <w:proofErr w:type="gramEnd"/>
    </w:p>
    <w:p w14:paraId="542C1789" w14:textId="7537CFFB" w:rsidR="00FC230F" w:rsidRDefault="008F288C" w:rsidP="008F288C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CA0F43">
        <w:rPr>
          <w:sz w:val="24"/>
        </w:rPr>
        <w:t xml:space="preserve">Approximately </w:t>
      </w:r>
      <w:r w:rsidRPr="00CA0F43">
        <w:rPr>
          <w:b/>
          <w:sz w:val="24"/>
        </w:rPr>
        <w:t>4</w:t>
      </w:r>
      <w:r w:rsidR="00CA0F43" w:rsidRPr="00CA0F43">
        <w:rPr>
          <w:b/>
          <w:sz w:val="24"/>
        </w:rPr>
        <w:t>84</w:t>
      </w:r>
      <w:r w:rsidRPr="00CA0F43">
        <w:rPr>
          <w:b/>
          <w:sz w:val="24"/>
        </w:rPr>
        <w:t>,</w:t>
      </w:r>
      <w:r w:rsidR="00CA0F43" w:rsidRPr="00CA0F43">
        <w:rPr>
          <w:b/>
          <w:sz w:val="24"/>
        </w:rPr>
        <w:t>7</w:t>
      </w:r>
      <w:r w:rsidRPr="00CA0F43">
        <w:rPr>
          <w:b/>
          <w:sz w:val="24"/>
        </w:rPr>
        <w:t>00</w:t>
      </w:r>
      <w:r w:rsidR="00337A4F" w:rsidRPr="00CA0F43">
        <w:rPr>
          <w:sz w:val="24"/>
        </w:rPr>
        <w:t xml:space="preserve"> calls had</w:t>
      </w:r>
      <w:r w:rsidRPr="00CA0F43">
        <w:rPr>
          <w:sz w:val="24"/>
        </w:rPr>
        <w:t xml:space="preserve"> been made to the </w:t>
      </w:r>
      <w:proofErr w:type="gramStart"/>
      <w:r w:rsidRPr="00CA0F43">
        <w:rPr>
          <w:sz w:val="24"/>
        </w:rPr>
        <w:t>Scheme</w:t>
      </w:r>
      <w:proofErr w:type="gramEnd"/>
    </w:p>
    <w:p w14:paraId="7932B662" w14:textId="77777777" w:rsidR="00FC230F" w:rsidRDefault="00FC230F">
      <w:pPr>
        <w:rPr>
          <w:sz w:val="24"/>
        </w:rPr>
      </w:pPr>
      <w:r>
        <w:rPr>
          <w:sz w:val="24"/>
        </w:rPr>
        <w:br w:type="page"/>
      </w:r>
    </w:p>
    <w:p w14:paraId="0D03A111" w14:textId="77777777" w:rsidR="008F288C" w:rsidRPr="00FC230F" w:rsidRDefault="008F288C" w:rsidP="00FC230F">
      <w:pPr>
        <w:spacing w:after="0"/>
        <w:rPr>
          <w:sz w:val="24"/>
        </w:rPr>
      </w:pPr>
    </w:p>
    <w:p w14:paraId="071782B6" w14:textId="77777777" w:rsidR="008F288C" w:rsidRPr="005C6D43" w:rsidRDefault="008F288C" w:rsidP="008F288C">
      <w:pPr>
        <w:pStyle w:val="ListParagraph"/>
        <w:spacing w:after="0"/>
        <w:ind w:left="360"/>
        <w:rPr>
          <w:sz w:val="24"/>
        </w:rPr>
      </w:pPr>
    </w:p>
    <w:p w14:paraId="500E443D" w14:textId="4FD76E22" w:rsidR="008F288C" w:rsidRDefault="008F288C" w:rsidP="00055E90">
      <w:pPr>
        <w:spacing w:after="0"/>
      </w:pPr>
    </w:p>
    <w:p w14:paraId="23F137FC" w14:textId="77777777" w:rsidR="00DD4118" w:rsidRDefault="00DD4118" w:rsidP="00055E90">
      <w:pPr>
        <w:spacing w:after="0"/>
      </w:pPr>
    </w:p>
    <w:p w14:paraId="77FD96F6" w14:textId="77777777" w:rsidR="00DD4118" w:rsidRDefault="00DD4118" w:rsidP="00055E90">
      <w:pPr>
        <w:spacing w:after="0"/>
      </w:pPr>
    </w:p>
    <w:p w14:paraId="56954218" w14:textId="77777777" w:rsidR="00DD4118" w:rsidRDefault="00DD4118" w:rsidP="00055E90">
      <w:pPr>
        <w:spacing w:after="0"/>
      </w:pPr>
    </w:p>
    <w:p w14:paraId="37156DC2" w14:textId="0110A281" w:rsidR="00DD4118" w:rsidRDefault="00DD4118" w:rsidP="00055E90">
      <w:pPr>
        <w:spacing w:after="0"/>
      </w:pPr>
    </w:p>
    <w:p w14:paraId="0AA75056" w14:textId="77777777" w:rsidR="00CF25DC" w:rsidRDefault="00CF25DC" w:rsidP="00CF25DC">
      <w:pPr>
        <w:pStyle w:val="Heading1"/>
        <w:numPr>
          <w:ilvl w:val="0"/>
          <w:numId w:val="16"/>
        </w:numPr>
        <w:spacing w:before="0"/>
      </w:pPr>
      <w:bookmarkStart w:id="1" w:name="_Toc134524950"/>
      <w:r>
        <w:t>Survivor Experience</w:t>
      </w:r>
      <w:bookmarkEnd w:id="1"/>
      <w:r>
        <w:t xml:space="preserve"> </w:t>
      </w:r>
    </w:p>
    <w:p w14:paraId="4FC1A884" w14:textId="77777777" w:rsidR="00CF25DC" w:rsidRDefault="00CF25DC" w:rsidP="00CF25DC">
      <w:pPr>
        <w:pStyle w:val="Heading2"/>
        <w:spacing w:before="0"/>
      </w:pPr>
      <w:bookmarkStart w:id="2" w:name="_Toc134524951"/>
      <w:r w:rsidRPr="00055E90">
        <w:t xml:space="preserve">1a. </w:t>
      </w:r>
      <w:r>
        <w:t>Application timeliness</w:t>
      </w:r>
      <w:bookmarkEnd w:id="2"/>
      <w:r>
        <w:t xml:space="preserve"> </w:t>
      </w:r>
      <w:r w:rsidRPr="00055E90">
        <w:t xml:space="preserve"> </w:t>
      </w:r>
    </w:p>
    <w:p w14:paraId="2860D8FA" w14:textId="2F2B993C" w:rsidR="00A21D31" w:rsidRPr="00FC230F" w:rsidRDefault="00CF25DC" w:rsidP="00FC230F">
      <w:pPr>
        <w:spacing w:after="480"/>
      </w:pPr>
      <w:r w:rsidRPr="0036481D">
        <w:rPr>
          <w:i/>
          <w:sz w:val="24"/>
        </w:rPr>
        <w:t xml:space="preserve">At least </w:t>
      </w:r>
      <w:r w:rsidRPr="0036481D">
        <w:rPr>
          <w:b/>
          <w:i/>
          <w:sz w:val="24"/>
        </w:rPr>
        <w:t>75%</w:t>
      </w:r>
      <w:r w:rsidRPr="0036481D">
        <w:rPr>
          <w:i/>
          <w:sz w:val="24"/>
        </w:rPr>
        <w:t xml:space="preserve"> of applications that name institutions that participate in the Scheme will have a decision communicated to the applicant within </w:t>
      </w:r>
      <w:r>
        <w:rPr>
          <w:i/>
          <w:sz w:val="24"/>
        </w:rPr>
        <w:t>6</w:t>
      </w:r>
      <w:r w:rsidRPr="0036481D">
        <w:rPr>
          <w:i/>
          <w:sz w:val="24"/>
        </w:rPr>
        <w:t xml:space="preserve"> months of </w:t>
      </w:r>
      <w:r>
        <w:rPr>
          <w:i/>
          <w:sz w:val="24"/>
        </w:rPr>
        <w:t xml:space="preserve">all necessary information </w:t>
      </w:r>
      <w:r w:rsidRPr="0036481D">
        <w:rPr>
          <w:i/>
          <w:sz w:val="24"/>
        </w:rPr>
        <w:t>being received by the Scheme</w:t>
      </w:r>
      <w:r>
        <w:rPr>
          <w:sz w:val="24"/>
        </w:rPr>
        <w:t xml:space="preserve"> </w:t>
      </w:r>
      <w:r w:rsidRPr="006748D8">
        <w:rPr>
          <w:sz w:val="24"/>
          <w:szCs w:val="28"/>
          <w:vertAlign w:val="superscript"/>
        </w:rPr>
        <w:t>[1]</w:t>
      </w:r>
      <w:r>
        <w:rPr>
          <w:sz w:val="24"/>
        </w:rPr>
        <w:t>.</w:t>
      </w:r>
    </w:p>
    <w:p w14:paraId="6B41F411" w14:textId="018DD516" w:rsidR="00421FA7" w:rsidRPr="000B6CF9" w:rsidRDefault="00337A4F" w:rsidP="00421FA7">
      <w:pPr>
        <w:spacing w:after="0"/>
      </w:pPr>
      <w:r>
        <w:rPr>
          <w:sz w:val="24"/>
        </w:rPr>
        <w:t>The following data wa</w:t>
      </w:r>
      <w:r w:rsidR="00421FA7">
        <w:rPr>
          <w:sz w:val="24"/>
        </w:rPr>
        <w:t xml:space="preserve">s accurate as </w:t>
      </w:r>
      <w:proofErr w:type="gramStart"/>
      <w:r w:rsidR="00421FA7" w:rsidRPr="00362CC3">
        <w:rPr>
          <w:sz w:val="24"/>
        </w:rPr>
        <w:t>at</w:t>
      </w:r>
      <w:proofErr w:type="gramEnd"/>
      <w:r w:rsidR="00421FA7" w:rsidRPr="00362CC3">
        <w:rPr>
          <w:sz w:val="24"/>
        </w:rPr>
        <w:t xml:space="preserve"> </w:t>
      </w:r>
      <w:r w:rsidR="00362CC3" w:rsidRPr="00362CC3">
        <w:rPr>
          <w:sz w:val="24"/>
        </w:rPr>
        <w:t>29</w:t>
      </w:r>
      <w:r w:rsidR="00213A60" w:rsidRPr="00362CC3">
        <w:rPr>
          <w:sz w:val="24"/>
        </w:rPr>
        <w:t xml:space="preserve"> </w:t>
      </w:r>
      <w:r w:rsidR="00362CC3" w:rsidRPr="00362CC3">
        <w:rPr>
          <w:sz w:val="24"/>
        </w:rPr>
        <w:t>December</w:t>
      </w:r>
      <w:r w:rsidR="00213A60" w:rsidRPr="00362CC3">
        <w:rPr>
          <w:sz w:val="24"/>
        </w:rPr>
        <w:t xml:space="preserve"> 202</w:t>
      </w:r>
      <w:r w:rsidR="00362CC3">
        <w:rPr>
          <w:sz w:val="24"/>
        </w:rPr>
        <w:t>3</w:t>
      </w:r>
      <w:r w:rsidR="00EA6CCD">
        <w:rPr>
          <w:sz w:val="24"/>
        </w:rPr>
        <w:t>. For the first time in the past 3 financial years, performance fell below the target of 75%.</w:t>
      </w:r>
      <w:r w:rsidR="00511FC6">
        <w:rPr>
          <w:sz w:val="24"/>
        </w:rPr>
        <w:t xml:space="preserve"> This can be attributed to increased demand on the Scheme, as seen in the sustained increase in the number of applications since 2022. </w:t>
      </w:r>
    </w:p>
    <w:p w14:paraId="5C3D2BCE" w14:textId="77777777" w:rsidR="00421FA7" w:rsidRDefault="00421FA7" w:rsidP="00421FA7">
      <w:pPr>
        <w:spacing w:after="0"/>
        <w:rPr>
          <w:sz w:val="24"/>
        </w:rPr>
      </w:pPr>
    </w:p>
    <w:p w14:paraId="31C672F3" w14:textId="47B1E56F" w:rsidR="00421FA7" w:rsidRPr="009C2810" w:rsidRDefault="00157D57" w:rsidP="00421FA7">
      <w:pPr>
        <w:spacing w:after="0"/>
        <w:ind w:left="720"/>
        <w:rPr>
          <w:b/>
          <w:sz w:val="24"/>
        </w:rPr>
      </w:pPr>
      <w:r w:rsidRPr="00362CC3">
        <w:rPr>
          <w:b/>
          <w:sz w:val="24"/>
        </w:rPr>
        <w:t>Figure 1a</w:t>
      </w:r>
      <w:r w:rsidR="00421FA7" w:rsidRPr="00362CC3">
        <w:rPr>
          <w:b/>
          <w:sz w:val="24"/>
        </w:rPr>
        <w:t xml:space="preserve"> –</w:t>
      </w:r>
      <w:r w:rsidR="00421FA7" w:rsidRPr="009C2810">
        <w:rPr>
          <w:b/>
          <w:sz w:val="24"/>
        </w:rPr>
        <w:t xml:space="preserve"> Percentage of Outcomes </w:t>
      </w:r>
      <w:r w:rsidR="00421FA7">
        <w:rPr>
          <w:b/>
          <w:sz w:val="24"/>
        </w:rPr>
        <w:t>N</w:t>
      </w:r>
      <w:r w:rsidR="00337A4F">
        <w:rPr>
          <w:b/>
          <w:sz w:val="24"/>
        </w:rPr>
        <w:t>otified within 6</w:t>
      </w:r>
      <w:r w:rsidR="00421FA7" w:rsidRPr="009C2810">
        <w:rPr>
          <w:b/>
          <w:sz w:val="24"/>
        </w:rPr>
        <w:t xml:space="preserve"> months of </w:t>
      </w:r>
      <w:r w:rsidR="00337A4F">
        <w:rPr>
          <w:b/>
          <w:sz w:val="24"/>
        </w:rPr>
        <w:t>Receiving A</w:t>
      </w:r>
      <w:r w:rsidR="00421FA7">
        <w:rPr>
          <w:b/>
          <w:sz w:val="24"/>
        </w:rPr>
        <w:t>ll Required I</w:t>
      </w:r>
      <w:r w:rsidR="00421FA7" w:rsidRPr="009C2810">
        <w:rPr>
          <w:b/>
          <w:sz w:val="24"/>
        </w:rPr>
        <w:t>nformation</w:t>
      </w:r>
    </w:p>
    <w:p w14:paraId="2534AA72" w14:textId="53102661" w:rsidR="00421FA7" w:rsidRDefault="00362CC3" w:rsidP="00421FA7">
      <w:pPr>
        <w:pStyle w:val="ListParagraph"/>
        <w:spacing w:after="0"/>
      </w:pPr>
      <w:r>
        <w:rPr>
          <w:noProof/>
          <w:lang w:eastAsia="en-AU"/>
        </w:rPr>
        <w:drawing>
          <wp:inline distT="0" distB="0" distL="0" distR="0" wp14:anchorId="72DCB035" wp14:editId="1B114EB7">
            <wp:extent cx="5163820" cy="2280285"/>
            <wp:effectExtent l="0" t="0" r="0" b="5715"/>
            <wp:docPr id="11" name="Picture 11" descr="Graph for metric 1A Application timeliness. This graph is of percentage versus financial year. Results are 97% in 2018-19; 71% in 2019-20; 83% in 2020-21; 79% in 2021-22; 77% in 2022-23 and 66% in 2023-24 to date, against a target of 75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 for metric 1A Application timeliness. This graph is of percentage versus financial year. Results are 97% in 2018-19; 71% in 2019-20; 83% in 2020-21; 79% in 2021-22; 77% in 2022-23 and 66% in 2023-24 to date, against a target of 75%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228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BACE8" w14:textId="569906A6" w:rsidR="00421FA7" w:rsidRPr="008255D1" w:rsidRDefault="00421FA7" w:rsidP="00421FA7">
      <w:pPr>
        <w:pStyle w:val="ListParagraph"/>
        <w:spacing w:after="0"/>
        <w:rPr>
          <w:i/>
        </w:rPr>
      </w:pPr>
      <w:r>
        <w:t xml:space="preserve">Source: </w:t>
      </w:r>
      <w:r w:rsidRPr="008255D1">
        <w:rPr>
          <w:i/>
        </w:rPr>
        <w:t xml:space="preserve">National Redress </w:t>
      </w:r>
      <w:r w:rsidRPr="00213A60">
        <w:rPr>
          <w:i/>
        </w:rPr>
        <w:t xml:space="preserve">Scheme, </w:t>
      </w:r>
      <w:r w:rsidR="00362CC3">
        <w:rPr>
          <w:i/>
        </w:rPr>
        <w:t>December</w:t>
      </w:r>
      <w:r w:rsidR="00213A60" w:rsidRPr="00213A60">
        <w:rPr>
          <w:i/>
        </w:rPr>
        <w:t xml:space="preserve"> 202</w:t>
      </w:r>
      <w:r w:rsidR="00362CC3">
        <w:rPr>
          <w:i/>
        </w:rPr>
        <w:t>3</w:t>
      </w:r>
      <w:r w:rsidRPr="008255D1">
        <w:rPr>
          <w:i/>
        </w:rPr>
        <w:t xml:space="preserve"> </w:t>
      </w:r>
    </w:p>
    <w:p w14:paraId="53A523C9" w14:textId="77777777" w:rsidR="00421FA7" w:rsidRPr="008255D1" w:rsidRDefault="00421FA7" w:rsidP="00421FA7">
      <w:pPr>
        <w:pStyle w:val="ListParagraph"/>
        <w:spacing w:after="0"/>
        <w:rPr>
          <w:i/>
        </w:rPr>
      </w:pPr>
    </w:p>
    <w:p w14:paraId="015AB841" w14:textId="77777777" w:rsidR="00421FA7" w:rsidRDefault="00421FA7" w:rsidP="00421FA7">
      <w:pPr>
        <w:pStyle w:val="ListParagraph"/>
        <w:spacing w:after="0"/>
      </w:pPr>
    </w:p>
    <w:p w14:paraId="19D0605E" w14:textId="407AB144" w:rsidR="00421FA7" w:rsidRPr="00D94104" w:rsidRDefault="0084456A" w:rsidP="00D94104">
      <w:pPr>
        <w:spacing w:after="0"/>
        <w:rPr>
          <w:sz w:val="24"/>
        </w:rPr>
      </w:pPr>
      <w:r w:rsidRPr="00934BF0">
        <w:rPr>
          <w:sz w:val="24"/>
        </w:rPr>
        <w:t xml:space="preserve">As </w:t>
      </w:r>
      <w:proofErr w:type="gramStart"/>
      <w:r w:rsidRPr="00934BF0">
        <w:rPr>
          <w:sz w:val="24"/>
        </w:rPr>
        <w:t>at</w:t>
      </w:r>
      <w:proofErr w:type="gramEnd"/>
      <w:r w:rsidR="00D20E90" w:rsidRPr="00934BF0">
        <w:rPr>
          <w:sz w:val="24"/>
        </w:rPr>
        <w:t xml:space="preserve"> </w:t>
      </w:r>
      <w:r w:rsidR="00934BF0" w:rsidRPr="00934BF0">
        <w:rPr>
          <w:sz w:val="24"/>
        </w:rPr>
        <w:t>29</w:t>
      </w:r>
      <w:r w:rsidR="00D20E90" w:rsidRPr="00934BF0">
        <w:rPr>
          <w:sz w:val="24"/>
        </w:rPr>
        <w:t xml:space="preserve"> </w:t>
      </w:r>
      <w:r w:rsidR="00934BF0" w:rsidRPr="00934BF0">
        <w:rPr>
          <w:sz w:val="24"/>
        </w:rPr>
        <w:t>December</w:t>
      </w:r>
      <w:r w:rsidR="00D20E90" w:rsidRPr="00934BF0">
        <w:rPr>
          <w:sz w:val="24"/>
        </w:rPr>
        <w:t xml:space="preserve"> 2023</w:t>
      </w:r>
      <w:r w:rsidR="00D94104" w:rsidRPr="00934BF0">
        <w:rPr>
          <w:sz w:val="24"/>
        </w:rPr>
        <w:t xml:space="preserve">, the average processing time </w:t>
      </w:r>
      <w:r w:rsidRPr="00934BF0">
        <w:rPr>
          <w:sz w:val="24"/>
        </w:rPr>
        <w:t xml:space="preserve">for applications </w:t>
      </w:r>
      <w:r w:rsidR="00890E98">
        <w:rPr>
          <w:sz w:val="24"/>
        </w:rPr>
        <w:t>wa</w:t>
      </w:r>
      <w:r w:rsidRPr="00934BF0">
        <w:rPr>
          <w:sz w:val="24"/>
        </w:rPr>
        <w:t xml:space="preserve">s </w:t>
      </w:r>
      <w:r w:rsidRPr="00934BF0">
        <w:rPr>
          <w:b/>
          <w:sz w:val="24"/>
        </w:rPr>
        <w:t>1</w:t>
      </w:r>
      <w:r w:rsidR="00934BF0" w:rsidRPr="00934BF0">
        <w:rPr>
          <w:b/>
          <w:sz w:val="24"/>
        </w:rPr>
        <w:t>2.2</w:t>
      </w:r>
      <w:r w:rsidRPr="00934BF0">
        <w:rPr>
          <w:b/>
          <w:sz w:val="24"/>
        </w:rPr>
        <w:t xml:space="preserve"> months</w:t>
      </w:r>
      <w:r w:rsidRPr="00934BF0">
        <w:rPr>
          <w:sz w:val="24"/>
        </w:rPr>
        <w:t xml:space="preserve">. This was for the period from when the Scheme first received an application until the applicant was notified of an outcome. </w:t>
      </w:r>
      <w:r w:rsidR="00922A8F" w:rsidRPr="00934BF0">
        <w:rPr>
          <w:sz w:val="24"/>
        </w:rPr>
        <w:t xml:space="preserve">This is </w:t>
      </w:r>
      <w:r w:rsidR="00890E98">
        <w:rPr>
          <w:sz w:val="24"/>
        </w:rPr>
        <w:t xml:space="preserve">a </w:t>
      </w:r>
      <w:r w:rsidR="00922A8F" w:rsidRPr="00934BF0">
        <w:rPr>
          <w:sz w:val="24"/>
        </w:rPr>
        <w:t>different calculation from the measure presented in Figure 1a.</w:t>
      </w:r>
    </w:p>
    <w:p w14:paraId="30EB6911" w14:textId="2FDCE26B" w:rsidR="00D94104" w:rsidRDefault="00D94104" w:rsidP="00922A8F">
      <w:pPr>
        <w:spacing w:after="0"/>
      </w:pPr>
    </w:p>
    <w:p w14:paraId="04786A25" w14:textId="77777777" w:rsidR="00511FC6" w:rsidRDefault="00511FC6" w:rsidP="00511FC6">
      <w:pPr>
        <w:spacing w:after="0"/>
      </w:pPr>
    </w:p>
    <w:p w14:paraId="62AA9885" w14:textId="77777777" w:rsidR="00FC230F" w:rsidRDefault="00FC230F" w:rsidP="00511FC6">
      <w:pPr>
        <w:spacing w:after="0"/>
      </w:pPr>
    </w:p>
    <w:p w14:paraId="5861F8C1" w14:textId="77777777" w:rsidR="00FC230F" w:rsidRDefault="00FC230F" w:rsidP="00511FC6">
      <w:pPr>
        <w:spacing w:after="0"/>
      </w:pPr>
    </w:p>
    <w:p w14:paraId="5E2D3F22" w14:textId="77777777" w:rsidR="00B532D7" w:rsidRDefault="00B532D7" w:rsidP="00511FC6">
      <w:pPr>
        <w:spacing w:after="0"/>
      </w:pPr>
    </w:p>
    <w:p w14:paraId="236F59A3" w14:textId="3978E66A" w:rsidR="00B532D7" w:rsidRPr="0059475D" w:rsidRDefault="0059475D" w:rsidP="00511FC6">
      <w:pPr>
        <w:spacing w:after="0"/>
        <w:rPr>
          <w:sz w:val="24"/>
          <w:szCs w:val="24"/>
        </w:rPr>
      </w:pPr>
      <w:r w:rsidRPr="0059475D">
        <w:rPr>
          <w:sz w:val="24"/>
          <w:szCs w:val="24"/>
        </w:rPr>
        <w:t>Note</w:t>
      </w:r>
    </w:p>
    <w:p w14:paraId="5C23968E" w14:textId="6094063D" w:rsidR="00B532D7" w:rsidRDefault="0059475D" w:rsidP="0059475D">
      <w:pPr>
        <w:spacing w:after="0"/>
      </w:pPr>
      <w:r>
        <w:rPr>
          <w:sz w:val="24"/>
        </w:rPr>
        <w:t xml:space="preserve">[1] </w:t>
      </w:r>
      <w:r w:rsidRPr="00EA1E96">
        <w:rPr>
          <w:sz w:val="24"/>
        </w:rPr>
        <w:t>The metric commence</w:t>
      </w:r>
      <w:r w:rsidR="00890E98">
        <w:rPr>
          <w:sz w:val="24"/>
        </w:rPr>
        <w:t>d</w:t>
      </w:r>
      <w:r w:rsidRPr="00EA1E96">
        <w:rPr>
          <w:sz w:val="24"/>
        </w:rPr>
        <w:t xml:space="preserve"> timing from the point that all necessary information </w:t>
      </w:r>
      <w:r w:rsidR="00890E98">
        <w:rPr>
          <w:sz w:val="24"/>
        </w:rPr>
        <w:t>wa</w:t>
      </w:r>
      <w:r w:rsidRPr="00EA1E96">
        <w:rPr>
          <w:sz w:val="24"/>
        </w:rPr>
        <w:t xml:space="preserve">s received (i.e. all information from the applicant and any institutions </w:t>
      </w:r>
      <w:r w:rsidR="00890E98">
        <w:rPr>
          <w:sz w:val="24"/>
        </w:rPr>
        <w:t>wa</w:t>
      </w:r>
      <w:r w:rsidRPr="00EA1E96">
        <w:rPr>
          <w:sz w:val="24"/>
        </w:rPr>
        <w:t xml:space="preserve">s received) until an outcome </w:t>
      </w:r>
      <w:r w:rsidR="00890E98">
        <w:rPr>
          <w:sz w:val="24"/>
        </w:rPr>
        <w:t>wa</w:t>
      </w:r>
      <w:r w:rsidRPr="00EA1E96">
        <w:rPr>
          <w:sz w:val="24"/>
        </w:rPr>
        <w:t>s delivered.</w:t>
      </w:r>
    </w:p>
    <w:p w14:paraId="6CFB17BE" w14:textId="77777777" w:rsidR="006B7267" w:rsidRDefault="006B7267" w:rsidP="00844908">
      <w:pPr>
        <w:spacing w:after="0"/>
      </w:pPr>
    </w:p>
    <w:p w14:paraId="6F74CC99" w14:textId="77777777" w:rsidR="0036579D" w:rsidRDefault="0036579D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3D68992F" w14:textId="77777777" w:rsidR="0036579D" w:rsidRDefault="0036579D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7BB5DEEB" w14:textId="77777777" w:rsidR="0036579D" w:rsidRDefault="0036579D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2C8DA1A2" w14:textId="77777777" w:rsidR="0036579D" w:rsidRDefault="0036579D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22F6122D" w14:textId="77777777" w:rsidR="0036579D" w:rsidRDefault="0036579D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053C68CF" w14:textId="77777777" w:rsidR="00F15C36" w:rsidRDefault="00F15C36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422CD9F0" w14:textId="77777777" w:rsidR="00F15C36" w:rsidRDefault="00F15C36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01B554E3" w14:textId="77777777" w:rsidR="00CF25DC" w:rsidRPr="00055E90" w:rsidRDefault="00CF25DC" w:rsidP="00CF25DC">
      <w:pPr>
        <w:pStyle w:val="Heading2"/>
        <w:spacing w:before="0"/>
      </w:pPr>
      <w:bookmarkStart w:id="3" w:name="_Toc134524952"/>
      <w:r>
        <w:t>1b</w:t>
      </w:r>
      <w:r w:rsidRPr="00055E90">
        <w:t xml:space="preserve">. </w:t>
      </w:r>
      <w:r w:rsidRPr="00A86AFD">
        <w:t>The Survivor Journey</w:t>
      </w:r>
      <w:bookmarkEnd w:id="3"/>
      <w:r w:rsidRPr="00055E90">
        <w:t xml:space="preserve"> </w:t>
      </w:r>
    </w:p>
    <w:p w14:paraId="50ED4C3F" w14:textId="39610F95" w:rsidR="00337A4F" w:rsidRPr="00FC230F" w:rsidRDefault="00CF25DC" w:rsidP="00FC230F">
      <w:pPr>
        <w:spacing w:after="480"/>
        <w:rPr>
          <w:i/>
          <w:sz w:val="24"/>
          <w:szCs w:val="24"/>
        </w:rPr>
      </w:pPr>
      <w:r w:rsidRPr="00321FC5">
        <w:rPr>
          <w:i/>
          <w:sz w:val="24"/>
          <w:szCs w:val="24"/>
        </w:rPr>
        <w:t xml:space="preserve">Survivor experience with the process of the Scheme, including Scheme responsiveness, degree of respectful, dignified, knowledgeable and trauma-informed interactions, ease of understanding, level of pro-activity, consistency of service quality. </w:t>
      </w:r>
    </w:p>
    <w:p w14:paraId="5AAD04E8" w14:textId="127FF211" w:rsidR="002D6C24" w:rsidRPr="00FC230F" w:rsidRDefault="00C07B28" w:rsidP="00FC230F">
      <w:pPr>
        <w:tabs>
          <w:tab w:val="left" w:pos="3769"/>
        </w:tabs>
        <w:spacing w:after="240"/>
        <w:rPr>
          <w:rStyle w:val="jsgrdq"/>
          <w:sz w:val="24"/>
          <w:szCs w:val="28"/>
        </w:rPr>
      </w:pPr>
      <w:r w:rsidRPr="000F020A">
        <w:rPr>
          <w:sz w:val="24"/>
          <w:szCs w:val="28"/>
        </w:rPr>
        <w:t xml:space="preserve">In 2020, the department engaged </w:t>
      </w:r>
      <w:proofErr w:type="spellStart"/>
      <w:r w:rsidRPr="000F020A">
        <w:rPr>
          <w:sz w:val="24"/>
          <w:szCs w:val="28"/>
        </w:rPr>
        <w:t>Whereto</w:t>
      </w:r>
      <w:proofErr w:type="spellEnd"/>
      <w:r w:rsidRPr="000F020A">
        <w:rPr>
          <w:sz w:val="24"/>
          <w:szCs w:val="28"/>
        </w:rPr>
        <w:t xml:space="preserve"> Research to develop a </w:t>
      </w:r>
      <w:r w:rsidR="0084456A" w:rsidRPr="000F020A">
        <w:rPr>
          <w:sz w:val="24"/>
          <w:szCs w:val="28"/>
        </w:rPr>
        <w:t xml:space="preserve">trauma-informed, safe, and respectful </w:t>
      </w:r>
      <w:r w:rsidRPr="000F020A">
        <w:rPr>
          <w:sz w:val="24"/>
          <w:szCs w:val="28"/>
        </w:rPr>
        <w:t xml:space="preserve">survey to report on the survivor journey. </w:t>
      </w:r>
      <w:r w:rsidR="0084456A" w:rsidRPr="000F020A">
        <w:rPr>
          <w:sz w:val="24"/>
          <w:szCs w:val="28"/>
        </w:rPr>
        <w:t xml:space="preserve">Applicants were invited to opt-in to </w:t>
      </w:r>
      <w:proofErr w:type="gramStart"/>
      <w:r w:rsidR="0084456A" w:rsidRPr="000F020A">
        <w:rPr>
          <w:sz w:val="24"/>
          <w:szCs w:val="28"/>
        </w:rPr>
        <w:t>receiving</w:t>
      </w:r>
      <w:proofErr w:type="gramEnd"/>
      <w:r w:rsidR="0084456A" w:rsidRPr="000F020A">
        <w:rPr>
          <w:sz w:val="24"/>
          <w:szCs w:val="28"/>
        </w:rPr>
        <w:t xml:space="preserve"> the survey through their letter of offer. </w:t>
      </w:r>
      <w:r w:rsidRPr="000F020A">
        <w:rPr>
          <w:sz w:val="24"/>
          <w:szCs w:val="28"/>
        </w:rPr>
        <w:t>The survey collect</w:t>
      </w:r>
      <w:r w:rsidR="002F253E">
        <w:rPr>
          <w:sz w:val="24"/>
          <w:szCs w:val="28"/>
        </w:rPr>
        <w:t>ed</w:t>
      </w:r>
      <w:r w:rsidRPr="000F020A">
        <w:rPr>
          <w:sz w:val="24"/>
          <w:szCs w:val="28"/>
        </w:rPr>
        <w:t xml:space="preserve"> information about applicants’ experiences with the Scheme.</w:t>
      </w:r>
      <w:r>
        <w:rPr>
          <w:sz w:val="24"/>
          <w:szCs w:val="28"/>
        </w:rPr>
        <w:t xml:space="preserve"> </w:t>
      </w:r>
    </w:p>
    <w:p w14:paraId="45EE29C3" w14:textId="060A65BB" w:rsidR="00A86AFD" w:rsidRDefault="00055CF3" w:rsidP="00FC230F">
      <w:pPr>
        <w:tabs>
          <w:tab w:val="left" w:pos="3769"/>
        </w:tabs>
        <w:spacing w:after="240"/>
        <w:rPr>
          <w:rStyle w:val="jsgrdq"/>
          <w:color w:val="000000"/>
          <w:sz w:val="24"/>
        </w:rPr>
      </w:pPr>
      <w:r w:rsidRPr="00E267E2">
        <w:rPr>
          <w:sz w:val="24"/>
        </w:rPr>
        <w:t xml:space="preserve">The number of people who responded to the survey </w:t>
      </w:r>
      <w:r w:rsidR="00B517EA">
        <w:rPr>
          <w:sz w:val="24"/>
        </w:rPr>
        <w:t>wa</w:t>
      </w:r>
      <w:r w:rsidRPr="00E267E2">
        <w:rPr>
          <w:sz w:val="24"/>
        </w:rPr>
        <w:t xml:space="preserve">s </w:t>
      </w:r>
      <w:r w:rsidRPr="00055CF3">
        <w:rPr>
          <w:sz w:val="24"/>
        </w:rPr>
        <w:t xml:space="preserve">relatively small in proportion to all those who received an outcome. The </w:t>
      </w:r>
      <w:r w:rsidR="002973B6">
        <w:rPr>
          <w:sz w:val="24"/>
        </w:rPr>
        <w:t xml:space="preserve">survey </w:t>
      </w:r>
      <w:r w:rsidRPr="00055CF3">
        <w:rPr>
          <w:sz w:val="24"/>
        </w:rPr>
        <w:t>responses received provide</w:t>
      </w:r>
      <w:r w:rsidR="0084456A">
        <w:rPr>
          <w:sz w:val="24"/>
        </w:rPr>
        <w:t>d</w:t>
      </w:r>
      <w:r w:rsidRPr="00055CF3">
        <w:rPr>
          <w:sz w:val="24"/>
        </w:rPr>
        <w:t xml:space="preserve"> valuable information to </w:t>
      </w:r>
      <w:r w:rsidRPr="00055CF3">
        <w:rPr>
          <w:rStyle w:val="jsgrdq"/>
          <w:color w:val="000000"/>
          <w:sz w:val="24"/>
        </w:rPr>
        <w:t xml:space="preserve">help the Scheme identify trends </w:t>
      </w:r>
      <w:r w:rsidR="0084456A">
        <w:rPr>
          <w:rStyle w:val="jsgrdq"/>
          <w:color w:val="000000"/>
          <w:sz w:val="24"/>
        </w:rPr>
        <w:t>over time and how survivors felt</w:t>
      </w:r>
      <w:r w:rsidRPr="00055CF3">
        <w:rPr>
          <w:rStyle w:val="jsgrdq"/>
          <w:color w:val="000000"/>
          <w:sz w:val="24"/>
        </w:rPr>
        <w:t xml:space="preserve"> about their interactions with the </w:t>
      </w:r>
      <w:proofErr w:type="gramStart"/>
      <w:r w:rsidRPr="00055CF3">
        <w:rPr>
          <w:rStyle w:val="jsgrdq"/>
          <w:color w:val="000000"/>
          <w:sz w:val="24"/>
        </w:rPr>
        <w:t>Scheme</w:t>
      </w:r>
      <w:proofErr w:type="gramEnd"/>
      <w:r w:rsidRPr="00055CF3">
        <w:rPr>
          <w:rStyle w:val="jsgrdq"/>
          <w:color w:val="000000"/>
          <w:sz w:val="24"/>
        </w:rPr>
        <w:t xml:space="preserve"> but these responses may not be representative of the whole applicant population.</w:t>
      </w:r>
    </w:p>
    <w:p w14:paraId="732E5955" w14:textId="338C2178" w:rsidR="00633930" w:rsidRPr="00633930" w:rsidRDefault="00055CF3" w:rsidP="00055E90">
      <w:pPr>
        <w:tabs>
          <w:tab w:val="left" w:pos="3769"/>
        </w:tabs>
        <w:spacing w:after="0"/>
        <w:rPr>
          <w:color w:val="000000"/>
          <w:sz w:val="24"/>
        </w:rPr>
      </w:pPr>
      <w:r>
        <w:rPr>
          <w:rStyle w:val="jsgrdq"/>
          <w:color w:val="000000"/>
          <w:sz w:val="24"/>
        </w:rPr>
        <w:t xml:space="preserve">Results from the survey report delivered to the department in </w:t>
      </w:r>
      <w:r w:rsidR="000F020A">
        <w:rPr>
          <w:rStyle w:val="jsgrdq"/>
          <w:color w:val="000000"/>
          <w:sz w:val="24"/>
        </w:rPr>
        <w:t>December</w:t>
      </w:r>
      <w:r>
        <w:rPr>
          <w:rStyle w:val="jsgrdq"/>
          <w:color w:val="000000"/>
          <w:sz w:val="24"/>
        </w:rPr>
        <w:t xml:space="preserve"> 202</w:t>
      </w:r>
      <w:r w:rsidR="000F020A">
        <w:rPr>
          <w:rStyle w:val="jsgrdq"/>
          <w:color w:val="000000"/>
          <w:sz w:val="24"/>
        </w:rPr>
        <w:t>3</w:t>
      </w:r>
      <w:r>
        <w:rPr>
          <w:rStyle w:val="jsgrdq"/>
          <w:color w:val="000000"/>
          <w:sz w:val="24"/>
        </w:rPr>
        <w:t xml:space="preserve"> include</w:t>
      </w:r>
      <w:r w:rsidR="00B517EA">
        <w:rPr>
          <w:rStyle w:val="jsgrdq"/>
          <w:color w:val="000000"/>
          <w:sz w:val="24"/>
        </w:rPr>
        <w:t>d</w:t>
      </w:r>
      <w:r>
        <w:rPr>
          <w:rStyle w:val="jsgrdq"/>
          <w:color w:val="000000"/>
          <w:sz w:val="24"/>
        </w:rPr>
        <w:t>:</w:t>
      </w:r>
    </w:p>
    <w:p w14:paraId="548C2DB2" w14:textId="50EC8B9A" w:rsidR="00633930" w:rsidRDefault="00633930" w:rsidP="00055E90">
      <w:pPr>
        <w:tabs>
          <w:tab w:val="left" w:pos="3769"/>
        </w:tabs>
        <w:spacing w:after="0"/>
        <w:rPr>
          <w:b/>
          <w:sz w:val="24"/>
          <w:szCs w:val="28"/>
        </w:rPr>
      </w:pPr>
    </w:p>
    <w:p w14:paraId="14BB1CB0" w14:textId="03409F40" w:rsidR="00633930" w:rsidRPr="001E3EF5" w:rsidRDefault="00633930" w:rsidP="00633930">
      <w:pPr>
        <w:pStyle w:val="ListParagraph"/>
        <w:numPr>
          <w:ilvl w:val="0"/>
          <w:numId w:val="8"/>
        </w:numPr>
        <w:tabs>
          <w:tab w:val="left" w:pos="3769"/>
        </w:tabs>
        <w:rPr>
          <w:sz w:val="24"/>
          <w:szCs w:val="28"/>
        </w:rPr>
      </w:pPr>
      <w:r w:rsidRPr="001E3EF5">
        <w:rPr>
          <w:b/>
          <w:sz w:val="24"/>
          <w:szCs w:val="28"/>
        </w:rPr>
        <w:t xml:space="preserve">2,132 </w:t>
      </w:r>
      <w:r w:rsidRPr="001E3EF5">
        <w:rPr>
          <w:sz w:val="24"/>
          <w:szCs w:val="28"/>
        </w:rPr>
        <w:t>people accepted an offer of redress</w:t>
      </w:r>
      <w:r>
        <w:rPr>
          <w:sz w:val="24"/>
          <w:szCs w:val="28"/>
        </w:rPr>
        <w:t xml:space="preserve"> and were invited to </w:t>
      </w:r>
      <w:proofErr w:type="gramStart"/>
      <w:r>
        <w:rPr>
          <w:sz w:val="24"/>
          <w:szCs w:val="28"/>
        </w:rPr>
        <w:t>opt-in</w:t>
      </w:r>
      <w:proofErr w:type="gramEnd"/>
    </w:p>
    <w:p w14:paraId="694857FD" w14:textId="5F7A5D2E" w:rsidR="00633930" w:rsidRPr="001E3EF5" w:rsidRDefault="00633930" w:rsidP="00633930">
      <w:pPr>
        <w:pStyle w:val="ListParagraph"/>
        <w:numPr>
          <w:ilvl w:val="0"/>
          <w:numId w:val="8"/>
        </w:numPr>
        <w:tabs>
          <w:tab w:val="left" w:pos="3769"/>
        </w:tabs>
        <w:rPr>
          <w:sz w:val="24"/>
          <w:szCs w:val="28"/>
        </w:rPr>
      </w:pPr>
      <w:r w:rsidRPr="001E3EF5">
        <w:rPr>
          <w:b/>
          <w:bCs/>
          <w:sz w:val="24"/>
          <w:szCs w:val="28"/>
        </w:rPr>
        <w:t>422</w:t>
      </w:r>
      <w:r w:rsidRPr="001E3EF5">
        <w:rPr>
          <w:sz w:val="24"/>
          <w:szCs w:val="28"/>
        </w:rPr>
        <w:t xml:space="preserve"> requested a survey </w:t>
      </w:r>
      <w:proofErr w:type="gramStart"/>
      <w:r w:rsidRPr="001E3EF5">
        <w:rPr>
          <w:sz w:val="24"/>
          <w:szCs w:val="28"/>
        </w:rPr>
        <w:t>pack</w:t>
      </w:r>
      <w:proofErr w:type="gramEnd"/>
    </w:p>
    <w:p w14:paraId="17646CC3" w14:textId="612A0BA0" w:rsidR="00633930" w:rsidRPr="00055CF3" w:rsidRDefault="00633930" w:rsidP="00633930">
      <w:pPr>
        <w:pStyle w:val="ListParagraph"/>
        <w:numPr>
          <w:ilvl w:val="0"/>
          <w:numId w:val="8"/>
        </w:numPr>
        <w:tabs>
          <w:tab w:val="left" w:pos="3769"/>
        </w:tabs>
        <w:rPr>
          <w:sz w:val="24"/>
          <w:szCs w:val="28"/>
        </w:rPr>
      </w:pPr>
      <w:r w:rsidRPr="006B52D3">
        <w:rPr>
          <w:noProof/>
          <w:szCs w:val="28"/>
          <w:lang w:eastAsia="en-AU"/>
        </w:rPr>
        <w:drawing>
          <wp:anchor distT="0" distB="0" distL="114300" distR="114300" simplePos="0" relativeHeight="251688960" behindDoc="0" locked="0" layoutInCell="1" allowOverlap="1" wp14:anchorId="79AEAFD3" wp14:editId="5329B283">
            <wp:simplePos x="0" y="0"/>
            <wp:positionH relativeFrom="column">
              <wp:posOffset>5184140</wp:posOffset>
            </wp:positionH>
            <wp:positionV relativeFrom="paragraph">
              <wp:posOffset>173990</wp:posOffset>
            </wp:positionV>
            <wp:extent cx="1052195" cy="1052195"/>
            <wp:effectExtent l="0" t="0" r="0" b="0"/>
            <wp:wrapThrough wrapText="bothSides">
              <wp:wrapPolygon edited="0">
                <wp:start x="6648" y="2346"/>
                <wp:lineTo x="4302" y="4302"/>
                <wp:lineTo x="4302" y="7430"/>
                <wp:lineTo x="5475" y="9386"/>
                <wp:lineTo x="3520" y="13687"/>
                <wp:lineTo x="3520" y="16425"/>
                <wp:lineTo x="5475" y="17989"/>
                <wp:lineTo x="6257" y="18771"/>
                <wp:lineTo x="8212" y="18771"/>
                <wp:lineTo x="8995" y="17989"/>
                <wp:lineTo x="10950" y="15643"/>
                <wp:lineTo x="14470" y="15643"/>
                <wp:lineTo x="17989" y="12123"/>
                <wp:lineTo x="17207" y="8995"/>
                <wp:lineTo x="8995" y="2346"/>
                <wp:lineTo x="6648" y="2346"/>
              </wp:wrapPolygon>
            </wp:wrapThrough>
            <wp:docPr id="237" name="Picture 2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EF5">
        <w:rPr>
          <w:b/>
          <w:sz w:val="24"/>
          <w:szCs w:val="28"/>
        </w:rPr>
        <w:t xml:space="preserve">42 (10%) </w:t>
      </w:r>
      <w:r w:rsidRPr="001E3EF5">
        <w:rPr>
          <w:sz w:val="24"/>
          <w:szCs w:val="28"/>
        </w:rPr>
        <w:t>of those who requested a survey pack completed and returned a paper, online or telephone survey</w:t>
      </w:r>
    </w:p>
    <w:p w14:paraId="4BF82362" w14:textId="77777777" w:rsidR="00633930" w:rsidRDefault="00633930" w:rsidP="00055E90">
      <w:pPr>
        <w:tabs>
          <w:tab w:val="left" w:pos="3769"/>
        </w:tabs>
        <w:spacing w:after="0"/>
        <w:rPr>
          <w:b/>
          <w:sz w:val="24"/>
          <w:szCs w:val="28"/>
        </w:rPr>
      </w:pPr>
    </w:p>
    <w:p w14:paraId="00D6CCF1" w14:textId="77777777" w:rsidR="00633930" w:rsidRDefault="00633930" w:rsidP="00055E90">
      <w:pPr>
        <w:tabs>
          <w:tab w:val="left" w:pos="3769"/>
        </w:tabs>
        <w:spacing w:after="0"/>
        <w:rPr>
          <w:b/>
          <w:sz w:val="24"/>
          <w:szCs w:val="28"/>
        </w:rPr>
      </w:pPr>
    </w:p>
    <w:p w14:paraId="7C0E27F9" w14:textId="77777777" w:rsidR="00633930" w:rsidRDefault="00633930" w:rsidP="00055E90">
      <w:pPr>
        <w:tabs>
          <w:tab w:val="left" w:pos="3769"/>
        </w:tabs>
        <w:spacing w:after="0"/>
        <w:rPr>
          <w:b/>
          <w:sz w:val="24"/>
          <w:szCs w:val="28"/>
        </w:rPr>
      </w:pPr>
    </w:p>
    <w:p w14:paraId="72137B57" w14:textId="250CEDDE" w:rsidR="00C07B28" w:rsidRDefault="008255D1" w:rsidP="00055E90">
      <w:pPr>
        <w:tabs>
          <w:tab w:val="left" w:pos="3769"/>
        </w:tabs>
        <w:spacing w:after="0"/>
        <w:rPr>
          <w:sz w:val="24"/>
          <w:szCs w:val="28"/>
        </w:rPr>
      </w:pPr>
      <w:r w:rsidRPr="008255D1">
        <w:rPr>
          <w:b/>
          <w:sz w:val="24"/>
          <w:szCs w:val="28"/>
        </w:rPr>
        <w:t>Key Highlights</w:t>
      </w:r>
      <w:r w:rsidR="00C07B28">
        <w:rPr>
          <w:sz w:val="24"/>
          <w:szCs w:val="28"/>
        </w:rPr>
        <w:t>:</w:t>
      </w:r>
    </w:p>
    <w:p w14:paraId="706FBBBA" w14:textId="63DCDBBC" w:rsidR="00C07B28" w:rsidRPr="009A0111" w:rsidRDefault="00CF0126" w:rsidP="00CF0126">
      <w:pPr>
        <w:tabs>
          <w:tab w:val="left" w:pos="3769"/>
        </w:tabs>
        <w:spacing w:after="0"/>
        <w:rPr>
          <w:i/>
          <w:iCs/>
          <w:sz w:val="24"/>
          <w:szCs w:val="28"/>
        </w:rPr>
      </w:pPr>
      <w:r w:rsidRPr="009A0111">
        <w:rPr>
          <w:b/>
          <w:i/>
          <w:iCs/>
          <w:sz w:val="24"/>
          <w:szCs w:val="28"/>
        </w:rPr>
        <w:t>This survey report compared responses across three surveys to identify trends over time.</w:t>
      </w:r>
    </w:p>
    <w:p w14:paraId="20192277" w14:textId="45BB8CF4" w:rsidR="00A10BE4" w:rsidRPr="009A0111" w:rsidRDefault="009A0111" w:rsidP="00055E90">
      <w:pPr>
        <w:pStyle w:val="ListParagraph"/>
        <w:numPr>
          <w:ilvl w:val="0"/>
          <w:numId w:val="9"/>
        </w:numPr>
        <w:tabs>
          <w:tab w:val="left" w:pos="3769"/>
        </w:tabs>
        <w:spacing w:after="0"/>
        <w:rPr>
          <w:bCs/>
          <w:sz w:val="24"/>
          <w:szCs w:val="28"/>
        </w:rPr>
      </w:pPr>
      <w:r w:rsidRPr="009A0111">
        <w:rPr>
          <w:bCs/>
          <w:sz w:val="24"/>
          <w:szCs w:val="28"/>
        </w:rPr>
        <w:t xml:space="preserve">The proportion of respondents </w:t>
      </w:r>
      <w:r>
        <w:rPr>
          <w:bCs/>
          <w:sz w:val="24"/>
          <w:szCs w:val="28"/>
        </w:rPr>
        <w:t xml:space="preserve">who said it wasn’t easy to find out about the Scheme decreased from </w:t>
      </w:r>
      <w:r w:rsidRPr="00517ED9">
        <w:rPr>
          <w:b/>
          <w:sz w:val="24"/>
          <w:szCs w:val="28"/>
        </w:rPr>
        <w:t>25%</w:t>
      </w:r>
      <w:r>
        <w:rPr>
          <w:bCs/>
          <w:sz w:val="24"/>
          <w:szCs w:val="28"/>
        </w:rPr>
        <w:t xml:space="preserve"> to </w:t>
      </w:r>
      <w:r w:rsidRPr="00517ED9">
        <w:rPr>
          <w:b/>
          <w:sz w:val="24"/>
          <w:szCs w:val="28"/>
        </w:rPr>
        <w:t>10%</w:t>
      </w:r>
      <w:r>
        <w:rPr>
          <w:bCs/>
          <w:sz w:val="24"/>
          <w:szCs w:val="28"/>
        </w:rPr>
        <w:t xml:space="preserve"> from the first</w:t>
      </w:r>
      <w:r w:rsidR="007621E4">
        <w:rPr>
          <w:bCs/>
          <w:sz w:val="24"/>
          <w:szCs w:val="28"/>
        </w:rPr>
        <w:t xml:space="preserve"> survey in 2022</w:t>
      </w:r>
      <w:r>
        <w:rPr>
          <w:bCs/>
          <w:sz w:val="24"/>
          <w:szCs w:val="28"/>
        </w:rPr>
        <w:t xml:space="preserve"> to the latest survey.</w:t>
      </w:r>
    </w:p>
    <w:p w14:paraId="667A7094" w14:textId="3F233DA2" w:rsidR="00504C45" w:rsidRPr="009A0111" w:rsidRDefault="009A0111" w:rsidP="00055E90">
      <w:pPr>
        <w:pStyle w:val="ListParagraph"/>
        <w:numPr>
          <w:ilvl w:val="0"/>
          <w:numId w:val="9"/>
        </w:numPr>
        <w:tabs>
          <w:tab w:val="left" w:pos="3769"/>
        </w:tabs>
        <w:spacing w:after="0"/>
        <w:rPr>
          <w:bCs/>
          <w:sz w:val="24"/>
          <w:szCs w:val="28"/>
        </w:rPr>
      </w:pPr>
      <w:r w:rsidRPr="00517ED9">
        <w:rPr>
          <w:b/>
          <w:sz w:val="24"/>
          <w:szCs w:val="28"/>
        </w:rPr>
        <w:t>73%</w:t>
      </w:r>
      <w:r w:rsidRPr="009A0111">
        <w:rPr>
          <w:bCs/>
          <w:sz w:val="24"/>
          <w:szCs w:val="28"/>
        </w:rPr>
        <w:t xml:space="preserve"> of respondents to the latest survey said it was easy to contact the Scheme, increasing from </w:t>
      </w:r>
      <w:r w:rsidRPr="00517ED9">
        <w:rPr>
          <w:b/>
          <w:sz w:val="24"/>
          <w:szCs w:val="28"/>
        </w:rPr>
        <w:t>60%</w:t>
      </w:r>
      <w:r w:rsidRPr="009A0111">
        <w:rPr>
          <w:bCs/>
          <w:sz w:val="24"/>
          <w:szCs w:val="28"/>
        </w:rPr>
        <w:t xml:space="preserve"> in the first survey.</w:t>
      </w:r>
      <w:r>
        <w:rPr>
          <w:bCs/>
          <w:sz w:val="24"/>
          <w:szCs w:val="28"/>
        </w:rPr>
        <w:t xml:space="preserve"> </w:t>
      </w:r>
    </w:p>
    <w:p w14:paraId="3FA55262" w14:textId="503984B2" w:rsidR="00500ABE" w:rsidRDefault="00517ED9" w:rsidP="008255D1">
      <w:pPr>
        <w:pStyle w:val="ListParagraph"/>
        <w:numPr>
          <w:ilvl w:val="0"/>
          <w:numId w:val="9"/>
        </w:numPr>
        <w:tabs>
          <w:tab w:val="left" w:pos="3769"/>
        </w:tabs>
        <w:spacing w:after="0"/>
        <w:rPr>
          <w:bCs/>
          <w:sz w:val="24"/>
          <w:szCs w:val="28"/>
        </w:rPr>
      </w:pPr>
      <w:r w:rsidRPr="00517ED9">
        <w:rPr>
          <w:bCs/>
          <w:sz w:val="24"/>
          <w:szCs w:val="28"/>
        </w:rPr>
        <w:t xml:space="preserve">The proportion of respondents reporting that Scheme staff were helpful and respectful increased from </w:t>
      </w:r>
      <w:r w:rsidRPr="00517ED9">
        <w:rPr>
          <w:b/>
          <w:sz w:val="24"/>
          <w:szCs w:val="28"/>
        </w:rPr>
        <w:t>78%</w:t>
      </w:r>
      <w:r w:rsidRPr="00517ED9">
        <w:rPr>
          <w:bCs/>
          <w:sz w:val="24"/>
          <w:szCs w:val="28"/>
        </w:rPr>
        <w:t xml:space="preserve"> in the first survey to </w:t>
      </w:r>
      <w:r w:rsidRPr="00517ED9">
        <w:rPr>
          <w:b/>
          <w:sz w:val="24"/>
          <w:szCs w:val="28"/>
        </w:rPr>
        <w:t>95%</w:t>
      </w:r>
      <w:r w:rsidRPr="00517ED9">
        <w:rPr>
          <w:bCs/>
          <w:sz w:val="24"/>
          <w:szCs w:val="28"/>
        </w:rPr>
        <w:t xml:space="preserve"> in the latest survey.</w:t>
      </w:r>
    </w:p>
    <w:p w14:paraId="474149EC" w14:textId="21ECCD6A" w:rsidR="00BA1D18" w:rsidRPr="00517ED9" w:rsidRDefault="00BA1D18" w:rsidP="008255D1">
      <w:pPr>
        <w:pStyle w:val="ListParagraph"/>
        <w:numPr>
          <w:ilvl w:val="0"/>
          <w:numId w:val="9"/>
        </w:numPr>
        <w:tabs>
          <w:tab w:val="left" w:pos="3769"/>
        </w:tabs>
        <w:spacing w:after="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In the latest survey, </w:t>
      </w:r>
      <w:r w:rsidRPr="00BA1D18">
        <w:rPr>
          <w:b/>
          <w:sz w:val="24"/>
          <w:szCs w:val="28"/>
        </w:rPr>
        <w:t>12%</w:t>
      </w:r>
      <w:r>
        <w:rPr>
          <w:bCs/>
          <w:sz w:val="24"/>
          <w:szCs w:val="28"/>
        </w:rPr>
        <w:t xml:space="preserve"> of respondents said the time taken to receive an outcome was too long, down from </w:t>
      </w:r>
      <w:r w:rsidRPr="00BA1D18">
        <w:rPr>
          <w:b/>
          <w:sz w:val="24"/>
          <w:szCs w:val="28"/>
        </w:rPr>
        <w:t>42%</w:t>
      </w:r>
      <w:r>
        <w:rPr>
          <w:bCs/>
          <w:sz w:val="24"/>
          <w:szCs w:val="28"/>
        </w:rPr>
        <w:t xml:space="preserve"> in the first survey.</w:t>
      </w:r>
    </w:p>
    <w:p w14:paraId="01D6D00B" w14:textId="77777777" w:rsidR="003B30D1" w:rsidRPr="00504C45" w:rsidRDefault="003B30D1" w:rsidP="003B30D1">
      <w:pPr>
        <w:pStyle w:val="ListParagraph"/>
        <w:tabs>
          <w:tab w:val="left" w:pos="3769"/>
        </w:tabs>
        <w:spacing w:after="0"/>
        <w:ind w:left="360"/>
        <w:rPr>
          <w:sz w:val="24"/>
          <w:szCs w:val="28"/>
        </w:rPr>
      </w:pPr>
    </w:p>
    <w:p w14:paraId="7BD7E299" w14:textId="08E5F466" w:rsidR="00334DD6" w:rsidRDefault="00334DD6" w:rsidP="00334DD6">
      <w:pPr>
        <w:tabs>
          <w:tab w:val="left" w:pos="3769"/>
        </w:tabs>
        <w:spacing w:after="0"/>
        <w:rPr>
          <w:sz w:val="24"/>
          <w:szCs w:val="28"/>
        </w:rPr>
      </w:pPr>
    </w:p>
    <w:p w14:paraId="78DD9D9B" w14:textId="3CA66E00" w:rsidR="00334DD6" w:rsidRDefault="00334DD6" w:rsidP="00334DD6">
      <w:pPr>
        <w:tabs>
          <w:tab w:val="left" w:pos="3769"/>
        </w:tabs>
        <w:spacing w:after="0"/>
        <w:rPr>
          <w:sz w:val="24"/>
          <w:szCs w:val="28"/>
        </w:rPr>
      </w:pPr>
    </w:p>
    <w:p w14:paraId="77FFB9B2" w14:textId="77777777" w:rsidR="00CF25DC" w:rsidRDefault="00CF25DC" w:rsidP="00334DD6">
      <w:pPr>
        <w:tabs>
          <w:tab w:val="left" w:pos="3769"/>
        </w:tabs>
        <w:spacing w:after="0"/>
        <w:rPr>
          <w:sz w:val="24"/>
          <w:szCs w:val="28"/>
        </w:rPr>
      </w:pPr>
    </w:p>
    <w:p w14:paraId="57D6D455" w14:textId="77777777" w:rsidR="00334DD6" w:rsidRPr="00334DD6" w:rsidRDefault="00334DD6" w:rsidP="00334DD6">
      <w:pPr>
        <w:tabs>
          <w:tab w:val="left" w:pos="3769"/>
        </w:tabs>
        <w:spacing w:after="0"/>
        <w:rPr>
          <w:sz w:val="24"/>
          <w:szCs w:val="28"/>
        </w:rPr>
      </w:pPr>
    </w:p>
    <w:p w14:paraId="078D70EF" w14:textId="69072982" w:rsidR="00C07B28" w:rsidRDefault="00C07B28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072E8C53" w14:textId="77777777" w:rsidR="00C25F3B" w:rsidRDefault="00C25F3B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52D05A0F" w14:textId="4E4E5FB1" w:rsidR="008255D1" w:rsidRDefault="008255D1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786BD7E0" w14:textId="764DA28E" w:rsidR="00A21D31" w:rsidRDefault="00A21D31" w:rsidP="00055E90">
      <w:pPr>
        <w:tabs>
          <w:tab w:val="left" w:pos="3769"/>
        </w:tabs>
        <w:spacing w:after="0"/>
        <w:rPr>
          <w:sz w:val="24"/>
          <w:szCs w:val="28"/>
        </w:rPr>
      </w:pPr>
    </w:p>
    <w:p w14:paraId="0E9E1D9C" w14:textId="5E4D5449" w:rsidR="00EA1E96" w:rsidRDefault="00C07B28" w:rsidP="00FC230F">
      <w:pPr>
        <w:tabs>
          <w:tab w:val="left" w:pos="3769"/>
        </w:tabs>
        <w:spacing w:after="360"/>
        <w:rPr>
          <w:sz w:val="24"/>
          <w:szCs w:val="28"/>
        </w:rPr>
      </w:pPr>
      <w:r>
        <w:rPr>
          <w:sz w:val="24"/>
          <w:szCs w:val="28"/>
        </w:rPr>
        <w:t xml:space="preserve">Apart from the survivor </w:t>
      </w:r>
      <w:r w:rsidR="0084456A">
        <w:rPr>
          <w:sz w:val="24"/>
          <w:szCs w:val="28"/>
        </w:rPr>
        <w:t>survey, the Scheme received</w:t>
      </w:r>
      <w:r>
        <w:rPr>
          <w:sz w:val="24"/>
          <w:szCs w:val="28"/>
        </w:rPr>
        <w:t xml:space="preserve"> feedback from survivors and other stakeholders through other avenues, including the survivor roundtable, correspondence, </w:t>
      </w:r>
      <w:r w:rsidR="00B517EA">
        <w:rPr>
          <w:sz w:val="24"/>
          <w:szCs w:val="28"/>
        </w:rPr>
        <w:t xml:space="preserve">and </w:t>
      </w:r>
      <w:r>
        <w:rPr>
          <w:sz w:val="24"/>
          <w:szCs w:val="28"/>
        </w:rPr>
        <w:t>project specific con</w:t>
      </w:r>
      <w:r w:rsidR="0084456A">
        <w:rPr>
          <w:sz w:val="24"/>
          <w:szCs w:val="28"/>
        </w:rPr>
        <w:t xml:space="preserve">sultation. </w:t>
      </w:r>
    </w:p>
    <w:p w14:paraId="19604336" w14:textId="77777777" w:rsidR="00CF25DC" w:rsidRPr="00E92A49" w:rsidRDefault="00CF25DC" w:rsidP="00CF25DC">
      <w:pPr>
        <w:pStyle w:val="Heading2"/>
        <w:spacing w:before="0"/>
      </w:pPr>
      <w:bookmarkStart w:id="4" w:name="_Toc134524953"/>
      <w:r w:rsidRPr="00E92A49">
        <w:t>1c. Advance Payment</w:t>
      </w:r>
      <w:bookmarkEnd w:id="4"/>
    </w:p>
    <w:p w14:paraId="3CF3E506" w14:textId="0984E6BD" w:rsidR="00334DD6" w:rsidRPr="00FC230F" w:rsidRDefault="00CF25DC" w:rsidP="00FC230F">
      <w:pPr>
        <w:spacing w:after="480"/>
        <w:rPr>
          <w:i/>
          <w:sz w:val="24"/>
          <w:szCs w:val="24"/>
        </w:rPr>
      </w:pPr>
      <w:r w:rsidRPr="00A9736B">
        <w:rPr>
          <w:i/>
          <w:sz w:val="20"/>
          <w:szCs w:val="28"/>
        </w:rPr>
        <w:t xml:space="preserve"> </w:t>
      </w:r>
      <w:r w:rsidRPr="00412951">
        <w:rPr>
          <w:rFonts w:cs="Arial"/>
          <w:i/>
          <w:sz w:val="24"/>
        </w:rPr>
        <w:t xml:space="preserve">The Scheme will issue </w:t>
      </w:r>
      <w:r w:rsidRPr="00FB3DFD">
        <w:rPr>
          <w:rFonts w:cs="Arial"/>
          <w:b/>
          <w:i/>
          <w:sz w:val="24"/>
        </w:rPr>
        <w:t>≥80%</w:t>
      </w:r>
      <w:r w:rsidRPr="00412951">
        <w:rPr>
          <w:rFonts w:cs="Arial"/>
          <w:i/>
          <w:sz w:val="24"/>
        </w:rPr>
        <w:t xml:space="preserve"> of eligible survivors </w:t>
      </w:r>
      <w:r>
        <w:rPr>
          <w:rFonts w:cs="Arial"/>
          <w:i/>
          <w:sz w:val="24"/>
        </w:rPr>
        <w:t>with an advance payment within 7</w:t>
      </w:r>
      <w:r w:rsidRPr="00412951">
        <w:rPr>
          <w:rFonts w:cs="Arial"/>
          <w:i/>
          <w:sz w:val="24"/>
        </w:rPr>
        <w:t xml:space="preserve"> days of receiving acceptance documentation.</w:t>
      </w:r>
    </w:p>
    <w:p w14:paraId="2644EE28" w14:textId="4DB19D09" w:rsidR="000B5D5A" w:rsidRPr="000B5D5A" w:rsidRDefault="006C4847" w:rsidP="00FC230F">
      <w:pPr>
        <w:spacing w:after="240"/>
        <w:rPr>
          <w:rFonts w:cs="Arial"/>
          <w:sz w:val="24"/>
        </w:rPr>
      </w:pPr>
      <w:r>
        <w:rPr>
          <w:sz w:val="24"/>
        </w:rPr>
        <w:t xml:space="preserve">The following </w:t>
      </w:r>
      <w:r w:rsidR="0084456A">
        <w:rPr>
          <w:sz w:val="24"/>
        </w:rPr>
        <w:t>data wa</w:t>
      </w:r>
      <w:r w:rsidR="00607D79">
        <w:rPr>
          <w:sz w:val="24"/>
        </w:rPr>
        <w:t xml:space="preserve">s accurate </w:t>
      </w:r>
      <w:r w:rsidR="00607D79" w:rsidRPr="00362CC3">
        <w:rPr>
          <w:sz w:val="24"/>
        </w:rPr>
        <w:t xml:space="preserve">as </w:t>
      </w:r>
      <w:proofErr w:type="gramStart"/>
      <w:r w:rsidR="00607D79" w:rsidRPr="00362CC3">
        <w:rPr>
          <w:sz w:val="24"/>
        </w:rPr>
        <w:t>at</w:t>
      </w:r>
      <w:proofErr w:type="gramEnd"/>
      <w:r w:rsidR="00607D79" w:rsidRPr="00362CC3">
        <w:rPr>
          <w:sz w:val="24"/>
        </w:rPr>
        <w:t xml:space="preserve"> </w:t>
      </w:r>
      <w:r w:rsidR="00362CC3" w:rsidRPr="00362CC3">
        <w:rPr>
          <w:sz w:val="24"/>
        </w:rPr>
        <w:t>29</w:t>
      </w:r>
      <w:r w:rsidR="007C50F4" w:rsidRPr="00362CC3">
        <w:rPr>
          <w:sz w:val="24"/>
        </w:rPr>
        <w:t xml:space="preserve"> </w:t>
      </w:r>
      <w:r w:rsidR="00362CC3" w:rsidRPr="00362CC3">
        <w:rPr>
          <w:sz w:val="24"/>
        </w:rPr>
        <w:t>December</w:t>
      </w:r>
      <w:r w:rsidR="007C50F4" w:rsidRPr="00362CC3">
        <w:rPr>
          <w:sz w:val="24"/>
        </w:rPr>
        <w:t xml:space="preserve"> 202</w:t>
      </w:r>
      <w:r w:rsidR="00362CC3">
        <w:rPr>
          <w:sz w:val="24"/>
        </w:rPr>
        <w:t>3</w:t>
      </w:r>
      <w:r w:rsidR="00607D79" w:rsidRPr="00362CC3">
        <w:rPr>
          <w:sz w:val="24"/>
        </w:rPr>
        <w:t>.</w:t>
      </w:r>
    </w:p>
    <w:p w14:paraId="1BD28853" w14:textId="62DD0E7D" w:rsidR="00373110" w:rsidRPr="00373110" w:rsidRDefault="00E267E2" w:rsidP="009C2810">
      <w:pPr>
        <w:rPr>
          <w:rFonts w:asciiTheme="minorHAnsi" w:eastAsiaTheme="minorEastAsia" w:hAnsi="Times New Roman"/>
          <w:b/>
          <w:bCs/>
          <w:kern w:val="24"/>
          <w:sz w:val="24"/>
          <w:szCs w:val="24"/>
          <w:lang w:eastAsia="en-AU"/>
        </w:rPr>
      </w:pPr>
      <w:r>
        <w:rPr>
          <w:rFonts w:cs="Arial"/>
          <w:sz w:val="24"/>
        </w:rPr>
        <w:t>Following legislative amendments, a</w:t>
      </w:r>
      <w:r w:rsidR="00AB4331" w:rsidRPr="000B5D5A">
        <w:rPr>
          <w:rFonts w:cs="Arial"/>
          <w:sz w:val="24"/>
        </w:rPr>
        <w:t>dvance payments were</w:t>
      </w:r>
      <w:r w:rsidR="00A87069" w:rsidRPr="000B5D5A">
        <w:rPr>
          <w:rFonts w:cs="Arial"/>
          <w:sz w:val="24"/>
        </w:rPr>
        <w:t xml:space="preserve"> introduced in October 2021</w:t>
      </w:r>
      <w:r w:rsidR="003F2E5F" w:rsidRPr="000B5D5A">
        <w:rPr>
          <w:rFonts w:cs="Arial"/>
          <w:sz w:val="24"/>
        </w:rPr>
        <w:t>.</w:t>
      </w:r>
      <w:r w:rsidR="00A87069" w:rsidRPr="000B5D5A">
        <w:rPr>
          <w:rFonts w:cs="Arial"/>
          <w:sz w:val="24"/>
        </w:rPr>
        <w:t xml:space="preserve"> </w:t>
      </w:r>
      <w:r w:rsidR="0084456A">
        <w:rPr>
          <w:rFonts w:cs="Arial"/>
          <w:sz w:val="24"/>
        </w:rPr>
        <w:t>The Scheme has delivered</w:t>
      </w:r>
      <w:r w:rsidR="002973B6">
        <w:rPr>
          <w:rFonts w:cs="Arial"/>
          <w:sz w:val="24"/>
        </w:rPr>
        <w:t xml:space="preserve"> on its target</w:t>
      </w:r>
      <w:r w:rsidR="009C2810" w:rsidRPr="00373110">
        <w:rPr>
          <w:rFonts w:cs="Arial"/>
          <w:sz w:val="24"/>
        </w:rPr>
        <w:t>.</w:t>
      </w:r>
      <w:r w:rsidR="009C2810" w:rsidRPr="00373110">
        <w:rPr>
          <w:rFonts w:asciiTheme="minorHAnsi" w:eastAsiaTheme="minorEastAsia" w:hAnsi="Times New Roman"/>
          <w:b/>
          <w:bCs/>
          <w:kern w:val="24"/>
          <w:sz w:val="24"/>
          <w:szCs w:val="24"/>
          <w:lang w:eastAsia="en-AU"/>
        </w:rPr>
        <w:t xml:space="preserve"> </w:t>
      </w:r>
    </w:p>
    <w:p w14:paraId="2B061363" w14:textId="55B8A1C0" w:rsidR="00A25154" w:rsidRPr="001D2920" w:rsidRDefault="009C2810" w:rsidP="009C2810">
      <w:pPr>
        <w:ind w:left="720"/>
        <w:rPr>
          <w:rFonts w:cs="Arial"/>
          <w:sz w:val="24"/>
          <w:szCs w:val="24"/>
        </w:rPr>
      </w:pPr>
      <w:r w:rsidRPr="00362CC3">
        <w:rPr>
          <w:rFonts w:cs="Arial"/>
          <w:b/>
          <w:bCs/>
          <w:sz w:val="24"/>
          <w:szCs w:val="24"/>
        </w:rPr>
        <w:t>Figure 1c -</w:t>
      </w:r>
      <w:r w:rsidRPr="001D2920">
        <w:rPr>
          <w:rFonts w:cs="Arial"/>
          <w:b/>
          <w:bCs/>
          <w:sz w:val="24"/>
          <w:szCs w:val="24"/>
        </w:rPr>
        <w:t xml:space="preserve"> Percentage of </w:t>
      </w:r>
      <w:r w:rsidR="008F288C">
        <w:rPr>
          <w:rFonts w:cs="Arial"/>
          <w:b/>
          <w:bCs/>
          <w:sz w:val="24"/>
          <w:szCs w:val="24"/>
        </w:rPr>
        <w:t>Adva</w:t>
      </w:r>
      <w:r w:rsidR="0084456A">
        <w:rPr>
          <w:rFonts w:cs="Arial"/>
          <w:b/>
          <w:bCs/>
          <w:sz w:val="24"/>
          <w:szCs w:val="24"/>
        </w:rPr>
        <w:t>nce Payments Issued within 7</w:t>
      </w:r>
      <w:r w:rsidRPr="001D2920">
        <w:rPr>
          <w:rFonts w:cs="Arial"/>
          <w:b/>
          <w:bCs/>
          <w:sz w:val="24"/>
          <w:szCs w:val="24"/>
        </w:rPr>
        <w:t xml:space="preserve"> Days of Receiving Acceptance Documents </w:t>
      </w:r>
    </w:p>
    <w:p w14:paraId="3BDB3053" w14:textId="463F6803" w:rsidR="00C07B28" w:rsidRPr="009A13BF" w:rsidRDefault="00362CC3" w:rsidP="00055E90">
      <w:pPr>
        <w:pStyle w:val="ListParagraph"/>
        <w:spacing w:after="0"/>
      </w:pPr>
      <w:r>
        <w:rPr>
          <w:noProof/>
          <w:lang w:eastAsia="en-AU"/>
        </w:rPr>
        <w:drawing>
          <wp:inline distT="0" distB="0" distL="0" distR="0" wp14:anchorId="09861A07" wp14:editId="1957E0AA">
            <wp:extent cx="4986655" cy="2341245"/>
            <wp:effectExtent l="0" t="0" r="4445" b="1905"/>
            <wp:docPr id="1740179822" name="Picture 1740179822" descr="Graph for metric 1C Advance payments. This is a graph of percentage versus financial year, with results for 2022-23 onwards only. Results are 95% in 2022-23 and 95% in 2023-24 to date, against a target of 80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179822" name="Picture 1740179822" descr="Graph for metric 1C Advance payments. This is a graph of percentage versus financial year, with results for 2022-23 onwards only. Results are 95% in 2022-23 and 95% in 2023-24 to date, against a target of 80%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81A22B" w14:textId="716F7542" w:rsidR="00FC230F" w:rsidRDefault="008255D1" w:rsidP="00384F43">
      <w:pPr>
        <w:pStyle w:val="ListParagraph"/>
        <w:spacing w:after="0"/>
        <w:rPr>
          <w:i/>
        </w:rPr>
      </w:pPr>
      <w:r>
        <w:t xml:space="preserve">Source: </w:t>
      </w:r>
      <w:r w:rsidRPr="008255D1">
        <w:rPr>
          <w:i/>
        </w:rPr>
        <w:t>Na</w:t>
      </w:r>
      <w:r w:rsidR="009C2810">
        <w:rPr>
          <w:i/>
        </w:rPr>
        <w:t xml:space="preserve">tional Redress </w:t>
      </w:r>
      <w:r w:rsidR="009C2810" w:rsidRPr="007C50F4">
        <w:rPr>
          <w:i/>
        </w:rPr>
        <w:t xml:space="preserve">Scheme, </w:t>
      </w:r>
      <w:r w:rsidR="00362CC3">
        <w:rPr>
          <w:i/>
        </w:rPr>
        <w:t>December</w:t>
      </w:r>
      <w:r w:rsidR="007C50F4" w:rsidRPr="007C50F4">
        <w:rPr>
          <w:i/>
        </w:rPr>
        <w:t xml:space="preserve"> 2023</w:t>
      </w:r>
    </w:p>
    <w:p w14:paraId="5BF24974" w14:textId="77777777" w:rsidR="00FC230F" w:rsidRDefault="00FC230F">
      <w:pPr>
        <w:rPr>
          <w:i/>
        </w:rPr>
      </w:pPr>
      <w:r>
        <w:rPr>
          <w:i/>
        </w:rPr>
        <w:br w:type="page"/>
      </w:r>
    </w:p>
    <w:p w14:paraId="6D8A65C7" w14:textId="77777777" w:rsidR="008255D1" w:rsidRDefault="008255D1" w:rsidP="00384F43">
      <w:pPr>
        <w:pStyle w:val="ListParagraph"/>
        <w:spacing w:after="0"/>
        <w:rPr>
          <w:i/>
        </w:rPr>
      </w:pPr>
    </w:p>
    <w:p w14:paraId="32AD6D7E" w14:textId="1F8E7A1D" w:rsidR="00421FA7" w:rsidRDefault="00421FA7" w:rsidP="00384F43">
      <w:pPr>
        <w:pStyle w:val="ListParagraph"/>
        <w:spacing w:after="0"/>
        <w:rPr>
          <w:i/>
        </w:rPr>
      </w:pPr>
    </w:p>
    <w:p w14:paraId="37EF63DB" w14:textId="362672C9" w:rsidR="00421FA7" w:rsidRDefault="00421FA7" w:rsidP="00384F43">
      <w:pPr>
        <w:pStyle w:val="ListParagraph"/>
        <w:spacing w:after="0"/>
        <w:rPr>
          <w:i/>
        </w:rPr>
      </w:pPr>
    </w:p>
    <w:p w14:paraId="7C0E5166" w14:textId="18C218E5" w:rsidR="00421FA7" w:rsidRDefault="00421FA7" w:rsidP="00384F43">
      <w:pPr>
        <w:pStyle w:val="ListParagraph"/>
        <w:spacing w:after="0"/>
        <w:rPr>
          <w:i/>
        </w:rPr>
      </w:pPr>
    </w:p>
    <w:p w14:paraId="6941B5FF" w14:textId="0669C646" w:rsidR="00421FA7" w:rsidRDefault="00421FA7" w:rsidP="00384F43">
      <w:pPr>
        <w:pStyle w:val="ListParagraph"/>
        <w:spacing w:after="0"/>
        <w:rPr>
          <w:i/>
        </w:rPr>
      </w:pPr>
    </w:p>
    <w:p w14:paraId="22E82593" w14:textId="7444416B" w:rsidR="003C0B87" w:rsidRDefault="003C0B87" w:rsidP="00384F43">
      <w:pPr>
        <w:pStyle w:val="ListParagraph"/>
        <w:spacing w:after="0"/>
        <w:rPr>
          <w:i/>
        </w:rPr>
      </w:pPr>
    </w:p>
    <w:p w14:paraId="798E968F" w14:textId="77777777" w:rsidR="003C0B87" w:rsidRDefault="003C0B87" w:rsidP="00384F43">
      <w:pPr>
        <w:pStyle w:val="ListParagraph"/>
        <w:spacing w:after="0"/>
        <w:rPr>
          <w:i/>
        </w:rPr>
      </w:pPr>
    </w:p>
    <w:p w14:paraId="77B9FF48" w14:textId="7749168F" w:rsidR="00421FA7" w:rsidRDefault="00421FA7" w:rsidP="00D9431A">
      <w:pPr>
        <w:spacing w:after="0"/>
        <w:rPr>
          <w:i/>
        </w:rPr>
      </w:pPr>
    </w:p>
    <w:p w14:paraId="7BEADF2F" w14:textId="77777777" w:rsidR="00CF25DC" w:rsidRPr="00E92A49" w:rsidRDefault="00CF25DC" w:rsidP="00CF25DC">
      <w:pPr>
        <w:pStyle w:val="Heading2"/>
        <w:spacing w:before="0"/>
      </w:pPr>
      <w:bookmarkStart w:id="5" w:name="_Toc134524954"/>
      <w:r w:rsidRPr="00E92A49">
        <w:t>1d. Redress Payment</w:t>
      </w:r>
      <w:bookmarkEnd w:id="5"/>
    </w:p>
    <w:p w14:paraId="12DCE88B" w14:textId="28C4CEFD" w:rsidR="0084456A" w:rsidRPr="00FC230F" w:rsidRDefault="00CF25DC" w:rsidP="00FC230F">
      <w:pPr>
        <w:spacing w:after="480"/>
        <w:rPr>
          <w:i/>
          <w:sz w:val="24"/>
          <w:szCs w:val="24"/>
        </w:rPr>
      </w:pPr>
      <w:r w:rsidRPr="00A9736B">
        <w:rPr>
          <w:i/>
          <w:sz w:val="20"/>
          <w:szCs w:val="28"/>
        </w:rPr>
        <w:t xml:space="preserve"> </w:t>
      </w:r>
      <w:r w:rsidRPr="00412951">
        <w:rPr>
          <w:rFonts w:cs="Arial"/>
          <w:i/>
          <w:sz w:val="24"/>
        </w:rPr>
        <w:t xml:space="preserve">The Scheme will issue </w:t>
      </w:r>
      <w:r w:rsidRPr="00FB3DFD">
        <w:rPr>
          <w:rFonts w:cs="Arial"/>
          <w:b/>
          <w:i/>
          <w:sz w:val="24"/>
        </w:rPr>
        <w:t>≥80%</w:t>
      </w:r>
      <w:r w:rsidRPr="00412951">
        <w:rPr>
          <w:rFonts w:cs="Arial"/>
          <w:i/>
          <w:sz w:val="24"/>
        </w:rPr>
        <w:t xml:space="preserve"> of survivors a redress payment within 14 days of receiving acceptance documentation.</w:t>
      </w:r>
    </w:p>
    <w:p w14:paraId="51C2A9F8" w14:textId="7B1F5F3C" w:rsidR="00384F43" w:rsidRDefault="0084456A" w:rsidP="00055E90">
      <w:pPr>
        <w:spacing w:after="0"/>
        <w:rPr>
          <w:sz w:val="24"/>
        </w:rPr>
      </w:pPr>
      <w:r>
        <w:rPr>
          <w:sz w:val="24"/>
        </w:rPr>
        <w:t>The following data wa</w:t>
      </w:r>
      <w:r w:rsidR="006C4847">
        <w:rPr>
          <w:sz w:val="24"/>
        </w:rPr>
        <w:t xml:space="preserve">s accurate </w:t>
      </w:r>
      <w:r w:rsidR="006C4847" w:rsidRPr="00012BF2">
        <w:rPr>
          <w:sz w:val="24"/>
        </w:rPr>
        <w:t xml:space="preserve">as </w:t>
      </w:r>
      <w:proofErr w:type="gramStart"/>
      <w:r w:rsidR="006C4847" w:rsidRPr="00AD3DB8">
        <w:rPr>
          <w:sz w:val="24"/>
        </w:rPr>
        <w:t>at</w:t>
      </w:r>
      <w:proofErr w:type="gramEnd"/>
      <w:r w:rsidR="006C4847" w:rsidRPr="00AD3DB8">
        <w:rPr>
          <w:sz w:val="24"/>
        </w:rPr>
        <w:t xml:space="preserve"> </w:t>
      </w:r>
      <w:r w:rsidR="00AD3DB8" w:rsidRPr="00AD3DB8">
        <w:rPr>
          <w:sz w:val="24"/>
        </w:rPr>
        <w:t>29</w:t>
      </w:r>
      <w:r w:rsidR="00012BF2" w:rsidRPr="00AD3DB8">
        <w:rPr>
          <w:sz w:val="24"/>
        </w:rPr>
        <w:t xml:space="preserve"> </w:t>
      </w:r>
      <w:r w:rsidR="00AD3DB8" w:rsidRPr="00AD3DB8">
        <w:rPr>
          <w:sz w:val="24"/>
        </w:rPr>
        <w:t>December</w:t>
      </w:r>
      <w:r w:rsidR="00012BF2" w:rsidRPr="00AD3DB8">
        <w:rPr>
          <w:sz w:val="24"/>
        </w:rPr>
        <w:t xml:space="preserve"> 2023</w:t>
      </w:r>
      <w:r w:rsidR="006C4847" w:rsidRPr="00AD3DB8">
        <w:rPr>
          <w:sz w:val="24"/>
        </w:rPr>
        <w:t>.</w:t>
      </w:r>
      <w:r w:rsidR="00A25154" w:rsidRPr="00AD3DB8">
        <w:rPr>
          <w:sz w:val="24"/>
        </w:rPr>
        <w:t xml:space="preserve"> </w:t>
      </w:r>
      <w:r w:rsidR="009C2810" w:rsidRPr="00AD3DB8">
        <w:rPr>
          <w:sz w:val="24"/>
        </w:rPr>
        <w:t>The</w:t>
      </w:r>
      <w:r>
        <w:rPr>
          <w:sz w:val="24"/>
        </w:rPr>
        <w:t xml:space="preserve"> Scheme has consistently delivered</w:t>
      </w:r>
      <w:r w:rsidR="009C2810">
        <w:rPr>
          <w:sz w:val="24"/>
        </w:rPr>
        <w:t xml:space="preserve"> on this target.</w:t>
      </w:r>
    </w:p>
    <w:p w14:paraId="73323077" w14:textId="77777777" w:rsidR="00FC423B" w:rsidRDefault="00FC423B" w:rsidP="00055E90">
      <w:pPr>
        <w:spacing w:after="0"/>
        <w:rPr>
          <w:sz w:val="24"/>
        </w:rPr>
      </w:pPr>
    </w:p>
    <w:p w14:paraId="0996D58C" w14:textId="4E243265" w:rsidR="00D15F15" w:rsidRPr="00FC423B" w:rsidRDefault="00384F43" w:rsidP="00384F43">
      <w:pPr>
        <w:ind w:left="720"/>
        <w:rPr>
          <w:rFonts w:cs="Arial"/>
          <w:b/>
          <w:bCs/>
          <w:sz w:val="24"/>
          <w:szCs w:val="24"/>
        </w:rPr>
      </w:pPr>
      <w:r w:rsidRPr="00AD3DB8">
        <w:rPr>
          <w:rFonts w:cs="Arial"/>
          <w:b/>
          <w:bCs/>
          <w:sz w:val="24"/>
          <w:szCs w:val="24"/>
        </w:rPr>
        <w:t>Figure 1d –</w:t>
      </w:r>
      <w:r w:rsidRPr="00FC423B">
        <w:rPr>
          <w:rFonts w:cs="Arial"/>
          <w:b/>
          <w:bCs/>
          <w:sz w:val="24"/>
          <w:szCs w:val="24"/>
        </w:rPr>
        <w:t xml:space="preserve"> Percentage of Payments Issued within 14 Days of Receiving Acceptance Documents</w:t>
      </w:r>
    </w:p>
    <w:p w14:paraId="7A8B1CE5" w14:textId="6F9032F7" w:rsidR="009A13BF" w:rsidRDefault="00AD3DB8" w:rsidP="00055E90">
      <w:pPr>
        <w:spacing w:after="0"/>
        <w:ind w:left="720"/>
        <w:rPr>
          <w:b/>
        </w:rPr>
      </w:pPr>
      <w:r>
        <w:rPr>
          <w:noProof/>
          <w:lang w:eastAsia="en-AU"/>
        </w:rPr>
        <w:drawing>
          <wp:inline distT="0" distB="0" distL="0" distR="0" wp14:anchorId="0A0014E9" wp14:editId="3F30CB1F">
            <wp:extent cx="5157470" cy="2334895"/>
            <wp:effectExtent l="0" t="0" r="5080" b="8255"/>
            <wp:docPr id="1428199214" name="Picture 1428199214" descr="Graph for metric 1D Redress payments. Graph of percentage versus financial year. Results are 99% in 2019-20; 97% in 2020-21; 91% in 2021-22; 95% in 2022-23 and 95% in 2023-24 to date, against a target of 80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99214" name="Picture 1428199214" descr="Graph for metric 1D Redress payments. Graph of percentage versus financial year. Results are 99% in 2019-20; 97% in 2020-21; 91% in 2021-22; 95% in 2022-23 and 95% in 2023-24 to date, against a target of 80%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ED5E0" w14:textId="3501DA24" w:rsidR="008255D1" w:rsidRDefault="00F7416F" w:rsidP="00012BF2">
      <w:pPr>
        <w:spacing w:after="0"/>
        <w:rPr>
          <w:b/>
          <w:sz w:val="28"/>
          <w:u w:val="single"/>
        </w:rPr>
      </w:pPr>
      <w:r>
        <w:t xml:space="preserve">           </w:t>
      </w:r>
      <w:r w:rsidR="008255D1">
        <w:t xml:space="preserve">Source: </w:t>
      </w:r>
      <w:r w:rsidR="008255D1" w:rsidRPr="008255D1">
        <w:rPr>
          <w:i/>
        </w:rPr>
        <w:t>N</w:t>
      </w:r>
      <w:r w:rsidR="009C2810">
        <w:rPr>
          <w:i/>
        </w:rPr>
        <w:t xml:space="preserve">ational Redress </w:t>
      </w:r>
      <w:r w:rsidR="009C2810" w:rsidRPr="00012BF2">
        <w:rPr>
          <w:i/>
        </w:rPr>
        <w:t xml:space="preserve">Scheme, </w:t>
      </w:r>
      <w:r w:rsidR="00AD3DB8">
        <w:rPr>
          <w:i/>
        </w:rPr>
        <w:t>December</w:t>
      </w:r>
      <w:r w:rsidR="00012BF2" w:rsidRPr="00012BF2">
        <w:rPr>
          <w:i/>
        </w:rPr>
        <w:t xml:space="preserve"> 2023</w:t>
      </w:r>
    </w:p>
    <w:p w14:paraId="06346472" w14:textId="5CB149D7" w:rsidR="008255D1" w:rsidRDefault="008255D1" w:rsidP="00055E90">
      <w:pPr>
        <w:spacing w:after="0"/>
        <w:rPr>
          <w:b/>
          <w:sz w:val="28"/>
          <w:u w:val="single"/>
        </w:rPr>
      </w:pPr>
    </w:p>
    <w:p w14:paraId="186AB538" w14:textId="08B2126E" w:rsidR="008255D1" w:rsidRDefault="008255D1" w:rsidP="00055E90">
      <w:pPr>
        <w:spacing w:after="0"/>
        <w:rPr>
          <w:b/>
          <w:sz w:val="28"/>
          <w:u w:val="single"/>
        </w:rPr>
      </w:pPr>
    </w:p>
    <w:p w14:paraId="3279C4C1" w14:textId="6EB5145B" w:rsidR="008255D1" w:rsidRDefault="008255D1" w:rsidP="00055E90">
      <w:pPr>
        <w:spacing w:after="0"/>
        <w:rPr>
          <w:b/>
          <w:sz w:val="28"/>
          <w:u w:val="single"/>
        </w:rPr>
      </w:pPr>
    </w:p>
    <w:p w14:paraId="33DADB33" w14:textId="3033C810" w:rsidR="00421FA7" w:rsidRDefault="00421FA7" w:rsidP="00055E90">
      <w:pPr>
        <w:spacing w:after="0"/>
        <w:rPr>
          <w:b/>
          <w:sz w:val="28"/>
          <w:u w:val="single"/>
        </w:rPr>
      </w:pPr>
    </w:p>
    <w:p w14:paraId="4D8EE3E8" w14:textId="4036C852" w:rsidR="00421FA7" w:rsidRDefault="00421FA7" w:rsidP="00055E90">
      <w:pPr>
        <w:spacing w:after="0"/>
        <w:rPr>
          <w:b/>
          <w:sz w:val="28"/>
          <w:u w:val="single"/>
        </w:rPr>
      </w:pPr>
    </w:p>
    <w:p w14:paraId="10AFBD78" w14:textId="0BED18DC" w:rsidR="00421FA7" w:rsidRDefault="00421FA7" w:rsidP="00055E90">
      <w:pPr>
        <w:spacing w:after="0"/>
        <w:rPr>
          <w:b/>
          <w:sz w:val="28"/>
          <w:u w:val="single"/>
        </w:rPr>
      </w:pPr>
    </w:p>
    <w:p w14:paraId="21DF6679" w14:textId="1F72809F" w:rsidR="00421FA7" w:rsidRDefault="00421FA7" w:rsidP="00055E90">
      <w:pPr>
        <w:spacing w:after="0"/>
        <w:rPr>
          <w:b/>
          <w:sz w:val="28"/>
          <w:u w:val="single"/>
        </w:rPr>
      </w:pPr>
    </w:p>
    <w:p w14:paraId="06BD254A" w14:textId="15BEEAE8" w:rsidR="00421FA7" w:rsidRDefault="00421FA7" w:rsidP="00055E90">
      <w:pPr>
        <w:spacing w:after="0"/>
        <w:rPr>
          <w:b/>
          <w:sz w:val="28"/>
          <w:u w:val="single"/>
        </w:rPr>
      </w:pPr>
    </w:p>
    <w:p w14:paraId="584690FC" w14:textId="2F466E7C" w:rsidR="00421FA7" w:rsidRDefault="00421FA7" w:rsidP="00055E90">
      <w:pPr>
        <w:spacing w:after="0"/>
        <w:rPr>
          <w:b/>
          <w:sz w:val="28"/>
          <w:u w:val="single"/>
        </w:rPr>
      </w:pPr>
    </w:p>
    <w:p w14:paraId="3C094CE9" w14:textId="0E433C52" w:rsidR="00421FA7" w:rsidRDefault="00421FA7" w:rsidP="00055E90">
      <w:pPr>
        <w:spacing w:after="0"/>
        <w:rPr>
          <w:b/>
          <w:sz w:val="28"/>
          <w:u w:val="single"/>
        </w:rPr>
      </w:pPr>
    </w:p>
    <w:p w14:paraId="446DC345" w14:textId="0C84572C" w:rsidR="00421FA7" w:rsidRDefault="00421FA7" w:rsidP="00055E90">
      <w:pPr>
        <w:spacing w:after="0"/>
        <w:rPr>
          <w:b/>
          <w:sz w:val="28"/>
          <w:u w:val="single"/>
        </w:rPr>
      </w:pPr>
    </w:p>
    <w:p w14:paraId="4C10F572" w14:textId="0D8A3F9C" w:rsidR="00421FA7" w:rsidRDefault="00421FA7" w:rsidP="00055E90">
      <w:pPr>
        <w:spacing w:after="0"/>
        <w:rPr>
          <w:b/>
          <w:sz w:val="28"/>
          <w:u w:val="single"/>
        </w:rPr>
      </w:pPr>
    </w:p>
    <w:p w14:paraId="0BB70D2E" w14:textId="4E0C1B7E" w:rsidR="00421FA7" w:rsidRDefault="00421FA7" w:rsidP="00055E90">
      <w:pPr>
        <w:spacing w:after="0"/>
        <w:rPr>
          <w:b/>
          <w:sz w:val="28"/>
          <w:u w:val="single"/>
        </w:rPr>
      </w:pPr>
    </w:p>
    <w:p w14:paraId="4187903B" w14:textId="1F8A8B64" w:rsidR="00421FA7" w:rsidRDefault="00421FA7" w:rsidP="00055E90">
      <w:pPr>
        <w:spacing w:after="0"/>
        <w:rPr>
          <w:b/>
          <w:sz w:val="28"/>
          <w:u w:val="single"/>
        </w:rPr>
      </w:pPr>
    </w:p>
    <w:p w14:paraId="21123493" w14:textId="60DC12B9" w:rsidR="00421FA7" w:rsidRDefault="00421FA7" w:rsidP="00055E90">
      <w:pPr>
        <w:spacing w:after="0"/>
        <w:rPr>
          <w:b/>
          <w:sz w:val="28"/>
          <w:u w:val="single"/>
        </w:rPr>
      </w:pPr>
    </w:p>
    <w:p w14:paraId="75C71CF8" w14:textId="77777777" w:rsidR="00A21D31" w:rsidRDefault="00A21D31" w:rsidP="00055E90">
      <w:pPr>
        <w:spacing w:after="0"/>
        <w:rPr>
          <w:b/>
          <w:sz w:val="28"/>
          <w:u w:val="single"/>
        </w:rPr>
      </w:pPr>
    </w:p>
    <w:p w14:paraId="7FE7D185" w14:textId="77777777" w:rsidR="008F7699" w:rsidRDefault="008F7699" w:rsidP="008255D1">
      <w:pPr>
        <w:spacing w:after="0"/>
        <w:rPr>
          <w:b/>
          <w:sz w:val="28"/>
          <w:u w:val="single"/>
        </w:rPr>
      </w:pPr>
    </w:p>
    <w:p w14:paraId="3CFADC65" w14:textId="77777777" w:rsidR="00F15C36" w:rsidRDefault="00F15C36" w:rsidP="008255D1">
      <w:pPr>
        <w:spacing w:after="0"/>
        <w:rPr>
          <w:b/>
          <w:sz w:val="28"/>
          <w:u w:val="single"/>
        </w:rPr>
      </w:pPr>
    </w:p>
    <w:p w14:paraId="54C03EF5" w14:textId="77777777" w:rsidR="00F15C36" w:rsidRDefault="00F15C36" w:rsidP="008255D1">
      <w:pPr>
        <w:spacing w:after="0"/>
        <w:rPr>
          <w:b/>
          <w:sz w:val="28"/>
          <w:u w:val="single"/>
        </w:rPr>
      </w:pPr>
    </w:p>
    <w:p w14:paraId="620501C2" w14:textId="77777777" w:rsidR="00CF25DC" w:rsidRDefault="00CF25DC" w:rsidP="00CF25DC">
      <w:pPr>
        <w:pStyle w:val="Heading1"/>
        <w:spacing w:before="0"/>
      </w:pPr>
      <w:bookmarkStart w:id="6" w:name="_Toc134524955"/>
      <w:r>
        <w:t>2. Health of the Scheme</w:t>
      </w:r>
      <w:bookmarkEnd w:id="6"/>
      <w:r>
        <w:t xml:space="preserve"> </w:t>
      </w:r>
    </w:p>
    <w:p w14:paraId="75215C32" w14:textId="77777777" w:rsidR="00CF25DC" w:rsidRDefault="00CF25DC" w:rsidP="00CF25DC">
      <w:pPr>
        <w:pStyle w:val="Heading2"/>
        <w:spacing w:before="0"/>
      </w:pPr>
      <w:bookmarkStart w:id="7" w:name="_Toc134524956"/>
      <w:r w:rsidRPr="00E92A49">
        <w:t>2a. Survivor acceptance</w:t>
      </w:r>
      <w:bookmarkEnd w:id="7"/>
    </w:p>
    <w:p w14:paraId="4DC028E9" w14:textId="762ED541" w:rsidR="0084456A" w:rsidRPr="00FC230F" w:rsidRDefault="00CF25DC" w:rsidP="00FC230F">
      <w:pPr>
        <w:spacing w:after="480"/>
        <w:rPr>
          <w:i/>
        </w:rPr>
      </w:pPr>
      <w:r w:rsidRPr="00252DFF">
        <w:rPr>
          <w:i/>
          <w:sz w:val="24"/>
        </w:rPr>
        <w:t>This metric measures the percentage of redress offers accepted by survivors across</w:t>
      </w:r>
      <w:r>
        <w:rPr>
          <w:i/>
          <w:sz w:val="24"/>
        </w:rPr>
        <w:t xml:space="preserve"> Direct Personal Responses and C</w:t>
      </w:r>
      <w:r w:rsidRPr="00252DFF">
        <w:rPr>
          <w:i/>
          <w:sz w:val="24"/>
        </w:rPr>
        <w:t>ounselling</w:t>
      </w:r>
      <w:r>
        <w:rPr>
          <w:i/>
          <w:sz w:val="24"/>
        </w:rPr>
        <w:t xml:space="preserve"> and Psychological Care services</w:t>
      </w:r>
      <w:r w:rsidR="00FC230F">
        <w:rPr>
          <w:i/>
          <w:sz w:val="24"/>
        </w:rPr>
        <w:t>.</w:t>
      </w:r>
    </w:p>
    <w:p w14:paraId="1EAE4D6F" w14:textId="7460F956" w:rsidR="003B33FC" w:rsidRPr="007C7303" w:rsidRDefault="0084456A" w:rsidP="008255D1">
      <w:pPr>
        <w:spacing w:after="0"/>
        <w:rPr>
          <w:sz w:val="24"/>
        </w:rPr>
      </w:pPr>
      <w:r>
        <w:rPr>
          <w:sz w:val="24"/>
        </w:rPr>
        <w:t>This data wa</w:t>
      </w:r>
      <w:r w:rsidR="00D94104">
        <w:rPr>
          <w:sz w:val="24"/>
        </w:rPr>
        <w:t xml:space="preserve">s </w:t>
      </w:r>
      <w:r w:rsidR="00D94104" w:rsidRPr="005C6D43">
        <w:rPr>
          <w:sz w:val="24"/>
        </w:rPr>
        <w:t xml:space="preserve">accurate </w:t>
      </w:r>
      <w:r w:rsidR="00D94104" w:rsidRPr="007C7303">
        <w:rPr>
          <w:sz w:val="24"/>
        </w:rPr>
        <w:t xml:space="preserve">as </w:t>
      </w:r>
      <w:proofErr w:type="gramStart"/>
      <w:r w:rsidR="00D94104" w:rsidRPr="007C7303">
        <w:rPr>
          <w:sz w:val="24"/>
        </w:rPr>
        <w:t>at</w:t>
      </w:r>
      <w:proofErr w:type="gramEnd"/>
      <w:r w:rsidR="00D94104" w:rsidRPr="007C7303">
        <w:rPr>
          <w:sz w:val="24"/>
        </w:rPr>
        <w:t xml:space="preserve"> </w:t>
      </w:r>
      <w:r w:rsidR="007C7303" w:rsidRPr="007C7303">
        <w:rPr>
          <w:sz w:val="24"/>
        </w:rPr>
        <w:t>29</w:t>
      </w:r>
      <w:r w:rsidR="005C6D43" w:rsidRPr="007C7303">
        <w:rPr>
          <w:sz w:val="24"/>
        </w:rPr>
        <w:t xml:space="preserve"> </w:t>
      </w:r>
      <w:r w:rsidR="007C7303" w:rsidRPr="007C7303">
        <w:rPr>
          <w:sz w:val="24"/>
        </w:rPr>
        <w:t>December</w:t>
      </w:r>
      <w:r w:rsidR="00DE08A4" w:rsidRPr="007C7303">
        <w:rPr>
          <w:sz w:val="24"/>
        </w:rPr>
        <w:t xml:space="preserve"> 2023</w:t>
      </w:r>
      <w:r w:rsidR="00D94104" w:rsidRPr="007C7303">
        <w:rPr>
          <w:sz w:val="24"/>
        </w:rPr>
        <w:t>.</w:t>
      </w:r>
    </w:p>
    <w:p w14:paraId="5B72BE72" w14:textId="0B20DB7E" w:rsidR="00157D57" w:rsidRPr="007C7303" w:rsidRDefault="00157D57" w:rsidP="008F288C">
      <w:pPr>
        <w:spacing w:after="0"/>
        <w:rPr>
          <w:sz w:val="24"/>
        </w:rPr>
      </w:pPr>
    </w:p>
    <w:p w14:paraId="3A8A5FE2" w14:textId="502D8E85" w:rsidR="00157D57" w:rsidRPr="007C7303" w:rsidRDefault="007C7303" w:rsidP="00157D5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7C7303">
        <w:rPr>
          <w:b/>
          <w:sz w:val="24"/>
        </w:rPr>
        <w:t>10,652</w:t>
      </w:r>
      <w:r w:rsidR="00514A5E" w:rsidRPr="007C7303">
        <w:rPr>
          <w:b/>
          <w:sz w:val="24"/>
        </w:rPr>
        <w:t xml:space="preserve"> (74</w:t>
      </w:r>
      <w:r w:rsidR="00157D57" w:rsidRPr="007C7303">
        <w:rPr>
          <w:b/>
          <w:sz w:val="24"/>
        </w:rPr>
        <w:t>%)</w:t>
      </w:r>
      <w:r w:rsidR="00157D57" w:rsidRPr="007C7303">
        <w:rPr>
          <w:sz w:val="24"/>
        </w:rPr>
        <w:t xml:space="preserve"> of people who accepted an offer of redress, had also accepted the offer for Counselling and Psychological Care (CPC) services. Of these </w:t>
      </w:r>
      <w:r w:rsidRPr="007C7303">
        <w:rPr>
          <w:b/>
          <w:sz w:val="24"/>
        </w:rPr>
        <w:t>7,297</w:t>
      </w:r>
      <w:r w:rsidR="00157D57" w:rsidRPr="007C7303">
        <w:rPr>
          <w:b/>
          <w:sz w:val="24"/>
        </w:rPr>
        <w:t xml:space="preserve"> </w:t>
      </w:r>
      <w:r w:rsidR="00D4320E" w:rsidRPr="007C7303">
        <w:rPr>
          <w:b/>
          <w:sz w:val="24"/>
        </w:rPr>
        <w:t>(6</w:t>
      </w:r>
      <w:r w:rsidRPr="007C7303">
        <w:rPr>
          <w:b/>
          <w:sz w:val="24"/>
        </w:rPr>
        <w:t>9</w:t>
      </w:r>
      <w:r w:rsidR="00157D57" w:rsidRPr="007C7303">
        <w:rPr>
          <w:b/>
          <w:sz w:val="24"/>
        </w:rPr>
        <w:t>%)</w:t>
      </w:r>
      <w:r w:rsidR="00157D57" w:rsidRPr="007C7303">
        <w:rPr>
          <w:sz w:val="24"/>
        </w:rPr>
        <w:t xml:space="preserve"> were for referral services and </w:t>
      </w:r>
      <w:r w:rsidR="00514A5E" w:rsidRPr="007C7303">
        <w:rPr>
          <w:b/>
          <w:sz w:val="24"/>
        </w:rPr>
        <w:t>3,</w:t>
      </w:r>
      <w:r w:rsidRPr="007C7303">
        <w:rPr>
          <w:b/>
          <w:sz w:val="24"/>
        </w:rPr>
        <w:t>355</w:t>
      </w:r>
      <w:r w:rsidR="00514A5E" w:rsidRPr="007C7303">
        <w:rPr>
          <w:b/>
          <w:sz w:val="24"/>
        </w:rPr>
        <w:t xml:space="preserve"> (3</w:t>
      </w:r>
      <w:r w:rsidRPr="007C7303">
        <w:rPr>
          <w:b/>
          <w:sz w:val="24"/>
        </w:rPr>
        <w:t>1</w:t>
      </w:r>
      <w:r w:rsidR="00157D57" w:rsidRPr="007C7303">
        <w:rPr>
          <w:b/>
          <w:sz w:val="24"/>
        </w:rPr>
        <w:t>%)</w:t>
      </w:r>
      <w:r w:rsidR="00157D57" w:rsidRPr="007C7303">
        <w:rPr>
          <w:sz w:val="24"/>
        </w:rPr>
        <w:t xml:space="preserve"> were for a lump sum payment</w:t>
      </w:r>
      <w:r w:rsidR="007621E4">
        <w:rPr>
          <w:sz w:val="24"/>
        </w:rPr>
        <w:t xml:space="preserve"> </w:t>
      </w:r>
      <w:r w:rsidR="007621E4" w:rsidRPr="006748D8">
        <w:rPr>
          <w:sz w:val="24"/>
          <w:vertAlign w:val="superscript"/>
        </w:rPr>
        <w:t>[1]</w:t>
      </w:r>
      <w:r w:rsidR="00157D57" w:rsidRPr="007C7303">
        <w:rPr>
          <w:sz w:val="24"/>
        </w:rPr>
        <w:t>.</w:t>
      </w:r>
    </w:p>
    <w:p w14:paraId="75ECDEAB" w14:textId="08379EBC" w:rsidR="00157D57" w:rsidRPr="007C7303" w:rsidRDefault="007C7303" w:rsidP="00157D57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7C7303">
        <w:rPr>
          <w:b/>
          <w:sz w:val="24"/>
        </w:rPr>
        <w:t>8,492</w:t>
      </w:r>
      <w:r w:rsidR="00157D57" w:rsidRPr="007C7303">
        <w:rPr>
          <w:sz w:val="24"/>
        </w:rPr>
        <w:t xml:space="preserve"> (representing </w:t>
      </w:r>
      <w:r w:rsidR="00157D57" w:rsidRPr="007C7303">
        <w:rPr>
          <w:b/>
          <w:sz w:val="24"/>
        </w:rPr>
        <w:t>59%</w:t>
      </w:r>
      <w:r w:rsidR="0084456A" w:rsidRPr="007C7303">
        <w:rPr>
          <w:sz w:val="24"/>
        </w:rPr>
        <w:t xml:space="preserve"> of applicants who</w:t>
      </w:r>
      <w:r w:rsidR="00157D57" w:rsidRPr="007C7303">
        <w:rPr>
          <w:sz w:val="24"/>
        </w:rPr>
        <w:t xml:space="preserve"> responded</w:t>
      </w:r>
      <w:r w:rsidR="0084456A" w:rsidRPr="007C7303">
        <w:rPr>
          <w:sz w:val="24"/>
        </w:rPr>
        <w:t xml:space="preserve"> to their offer of redress)</w:t>
      </w:r>
      <w:r w:rsidR="00157D57" w:rsidRPr="007C7303">
        <w:rPr>
          <w:sz w:val="24"/>
        </w:rPr>
        <w:t xml:space="preserve"> indicated that they may like to participate in a Direct Personal Response.</w:t>
      </w:r>
    </w:p>
    <w:p w14:paraId="2CB9CD69" w14:textId="77777777" w:rsidR="00E267E2" w:rsidRPr="006C51BB" w:rsidRDefault="00E267E2" w:rsidP="00E267E2">
      <w:pPr>
        <w:spacing w:after="0"/>
        <w:rPr>
          <w:sz w:val="24"/>
        </w:rPr>
      </w:pPr>
    </w:p>
    <w:p w14:paraId="68BFC783" w14:textId="0B98849B" w:rsidR="00E267E2" w:rsidRDefault="00E267E2" w:rsidP="00E267E2">
      <w:pPr>
        <w:spacing w:after="0"/>
      </w:pPr>
    </w:p>
    <w:p w14:paraId="7523F257" w14:textId="57201DBB" w:rsidR="008F288C" w:rsidRDefault="008F288C" w:rsidP="00E267E2">
      <w:pPr>
        <w:spacing w:after="0"/>
      </w:pPr>
    </w:p>
    <w:p w14:paraId="06216C86" w14:textId="6A5A2188" w:rsidR="008F288C" w:rsidRDefault="008F288C" w:rsidP="00E267E2">
      <w:pPr>
        <w:spacing w:after="0"/>
      </w:pPr>
    </w:p>
    <w:p w14:paraId="1EC53FBE" w14:textId="7AE0F388" w:rsidR="008F288C" w:rsidRDefault="008F288C" w:rsidP="00E267E2">
      <w:pPr>
        <w:spacing w:after="0"/>
      </w:pPr>
    </w:p>
    <w:p w14:paraId="22EB913C" w14:textId="10B1E49E" w:rsidR="008F288C" w:rsidRDefault="008F288C" w:rsidP="00E267E2">
      <w:pPr>
        <w:spacing w:after="0"/>
      </w:pPr>
    </w:p>
    <w:p w14:paraId="139C32EE" w14:textId="0093A608" w:rsidR="008F288C" w:rsidRDefault="008F288C" w:rsidP="00E267E2">
      <w:pPr>
        <w:spacing w:after="0"/>
      </w:pPr>
    </w:p>
    <w:p w14:paraId="3B553249" w14:textId="25BCEAA1" w:rsidR="008F288C" w:rsidRDefault="008F288C" w:rsidP="00E267E2">
      <w:pPr>
        <w:spacing w:after="0"/>
      </w:pPr>
    </w:p>
    <w:p w14:paraId="5B81DB22" w14:textId="4349FF90" w:rsidR="008F288C" w:rsidRDefault="008F288C" w:rsidP="00E267E2">
      <w:pPr>
        <w:spacing w:after="0"/>
      </w:pPr>
    </w:p>
    <w:p w14:paraId="08DE0A7D" w14:textId="6630F551" w:rsidR="008F288C" w:rsidRDefault="008F288C" w:rsidP="00E267E2">
      <w:pPr>
        <w:spacing w:after="0"/>
      </w:pPr>
    </w:p>
    <w:p w14:paraId="7F40072D" w14:textId="0AE88117" w:rsidR="008F288C" w:rsidRDefault="008F288C" w:rsidP="00E267E2">
      <w:pPr>
        <w:spacing w:after="0"/>
      </w:pPr>
    </w:p>
    <w:p w14:paraId="14AD1006" w14:textId="77777777" w:rsidR="008F288C" w:rsidRDefault="008F288C" w:rsidP="00E267E2">
      <w:pPr>
        <w:spacing w:after="0"/>
      </w:pPr>
    </w:p>
    <w:p w14:paraId="54C0F887" w14:textId="77777777" w:rsidR="00E267E2" w:rsidRDefault="00E267E2" w:rsidP="00E267E2">
      <w:pPr>
        <w:spacing w:after="0"/>
      </w:pPr>
    </w:p>
    <w:p w14:paraId="1794BD03" w14:textId="0BDEB5F7" w:rsidR="00E267E2" w:rsidRDefault="00E267E2" w:rsidP="00E267E2">
      <w:pPr>
        <w:spacing w:after="0"/>
        <w:rPr>
          <w:b/>
          <w:sz w:val="24"/>
        </w:rPr>
      </w:pPr>
    </w:p>
    <w:p w14:paraId="79F78C5C" w14:textId="58378D08" w:rsidR="006C51BB" w:rsidRDefault="006C51BB" w:rsidP="00E267E2">
      <w:pPr>
        <w:spacing w:after="0"/>
        <w:rPr>
          <w:b/>
          <w:sz w:val="24"/>
        </w:rPr>
      </w:pPr>
    </w:p>
    <w:p w14:paraId="662A56AD" w14:textId="09821F6D" w:rsidR="006C51BB" w:rsidRDefault="006C51BB" w:rsidP="00E267E2">
      <w:pPr>
        <w:spacing w:after="0"/>
        <w:rPr>
          <w:b/>
          <w:sz w:val="24"/>
        </w:rPr>
      </w:pPr>
    </w:p>
    <w:p w14:paraId="7A9214E4" w14:textId="77777777" w:rsidR="00FC230F" w:rsidRDefault="00FC230F" w:rsidP="00E267E2">
      <w:pPr>
        <w:spacing w:after="0"/>
        <w:rPr>
          <w:b/>
          <w:sz w:val="24"/>
        </w:rPr>
      </w:pPr>
    </w:p>
    <w:p w14:paraId="79B29E22" w14:textId="77777777" w:rsidR="00FC230F" w:rsidRDefault="00FC230F" w:rsidP="00E267E2">
      <w:pPr>
        <w:spacing w:after="0"/>
        <w:rPr>
          <w:b/>
          <w:sz w:val="24"/>
        </w:rPr>
      </w:pPr>
    </w:p>
    <w:p w14:paraId="6FA16E77" w14:textId="77777777" w:rsidR="00FC230F" w:rsidRDefault="00FC230F" w:rsidP="00E267E2">
      <w:pPr>
        <w:spacing w:after="0"/>
        <w:rPr>
          <w:b/>
          <w:sz w:val="24"/>
        </w:rPr>
      </w:pPr>
    </w:p>
    <w:p w14:paraId="6ABF82DD" w14:textId="77777777" w:rsidR="00FC230F" w:rsidRDefault="00FC230F" w:rsidP="00E267E2">
      <w:pPr>
        <w:spacing w:after="0"/>
        <w:rPr>
          <w:b/>
          <w:sz w:val="24"/>
        </w:rPr>
      </w:pPr>
    </w:p>
    <w:p w14:paraId="5FFC4939" w14:textId="0DCC5E4F" w:rsidR="006C51BB" w:rsidRDefault="006C51BB" w:rsidP="00E267E2">
      <w:pPr>
        <w:spacing w:after="0"/>
        <w:rPr>
          <w:b/>
          <w:sz w:val="24"/>
        </w:rPr>
      </w:pPr>
    </w:p>
    <w:p w14:paraId="744AAA1B" w14:textId="69E16EF4" w:rsidR="006C51BB" w:rsidRDefault="006C51BB" w:rsidP="00E267E2">
      <w:pPr>
        <w:spacing w:after="0"/>
        <w:rPr>
          <w:b/>
          <w:sz w:val="24"/>
        </w:rPr>
      </w:pPr>
    </w:p>
    <w:p w14:paraId="6D8B2771" w14:textId="77777777" w:rsidR="000B0509" w:rsidRPr="00E267E2" w:rsidRDefault="000B0509" w:rsidP="000B0509">
      <w:pPr>
        <w:tabs>
          <w:tab w:val="left" w:pos="3769"/>
        </w:tabs>
        <w:rPr>
          <w:sz w:val="24"/>
          <w:szCs w:val="28"/>
        </w:rPr>
      </w:pPr>
      <w:r w:rsidRPr="00E267E2">
        <w:rPr>
          <w:sz w:val="24"/>
          <w:szCs w:val="28"/>
        </w:rPr>
        <w:t>Note</w:t>
      </w:r>
    </w:p>
    <w:p w14:paraId="0E751C6E" w14:textId="77777777" w:rsidR="000B0509" w:rsidRPr="00E267E2" w:rsidRDefault="000B0509" w:rsidP="000B0509">
      <w:pPr>
        <w:tabs>
          <w:tab w:val="left" w:pos="3769"/>
        </w:tabs>
        <w:rPr>
          <w:sz w:val="24"/>
          <w:szCs w:val="28"/>
        </w:rPr>
      </w:pPr>
      <w:r>
        <w:rPr>
          <w:sz w:val="24"/>
          <w:szCs w:val="28"/>
        </w:rPr>
        <w:t>[1] Since January 2023 all states and territories except South Australia offered services rather than payments</w:t>
      </w:r>
      <w:r w:rsidRPr="00E267E2">
        <w:rPr>
          <w:sz w:val="24"/>
          <w:szCs w:val="28"/>
        </w:rPr>
        <w:t>.</w:t>
      </w:r>
    </w:p>
    <w:p w14:paraId="3E29B69B" w14:textId="7602219E" w:rsidR="00E267E2" w:rsidRDefault="00E267E2" w:rsidP="00E267E2">
      <w:pPr>
        <w:spacing w:after="0"/>
      </w:pPr>
    </w:p>
    <w:p w14:paraId="258B7A9D" w14:textId="77777777" w:rsidR="00E267E2" w:rsidRDefault="00E267E2" w:rsidP="00E267E2">
      <w:pPr>
        <w:spacing w:after="0"/>
      </w:pPr>
    </w:p>
    <w:p w14:paraId="29E7AD47" w14:textId="77777777" w:rsidR="00E267E2" w:rsidRDefault="00E267E2" w:rsidP="00E267E2">
      <w:pPr>
        <w:spacing w:after="0"/>
      </w:pPr>
    </w:p>
    <w:p w14:paraId="248F624B" w14:textId="77777777" w:rsidR="00CF25DC" w:rsidRDefault="00CF25DC" w:rsidP="00E267E2">
      <w:pPr>
        <w:spacing w:after="0"/>
      </w:pPr>
    </w:p>
    <w:p w14:paraId="5E1E96AB" w14:textId="77777777" w:rsidR="00E267E2" w:rsidRDefault="00E267E2" w:rsidP="00E267E2">
      <w:pPr>
        <w:spacing w:after="0"/>
      </w:pPr>
    </w:p>
    <w:p w14:paraId="53219701" w14:textId="77777777" w:rsidR="00E267E2" w:rsidRDefault="00E267E2" w:rsidP="00E267E2">
      <w:pPr>
        <w:spacing w:after="0"/>
      </w:pPr>
    </w:p>
    <w:p w14:paraId="13472907" w14:textId="77777777" w:rsidR="008F288C" w:rsidRDefault="008F288C" w:rsidP="00E267E2">
      <w:pPr>
        <w:spacing w:after="0"/>
      </w:pPr>
    </w:p>
    <w:p w14:paraId="46863D41" w14:textId="77777777" w:rsidR="0025260C" w:rsidRDefault="0025260C" w:rsidP="00E267E2">
      <w:pPr>
        <w:spacing w:after="0"/>
      </w:pPr>
    </w:p>
    <w:p w14:paraId="20D9D243" w14:textId="77777777" w:rsidR="00C25F3B" w:rsidRDefault="00C25F3B" w:rsidP="00E267E2">
      <w:pPr>
        <w:spacing w:after="0"/>
      </w:pPr>
    </w:p>
    <w:p w14:paraId="4C6A3BE0" w14:textId="77777777" w:rsidR="00CF25DC" w:rsidRPr="00E92A49" w:rsidRDefault="00CF25DC" w:rsidP="00CF25DC">
      <w:pPr>
        <w:pStyle w:val="Heading2"/>
        <w:spacing w:before="0"/>
      </w:pPr>
      <w:bookmarkStart w:id="8" w:name="_Toc134524957"/>
      <w:r w:rsidRPr="00E92A49">
        <w:t xml:space="preserve">2b. Maintaining institution </w:t>
      </w:r>
      <w:proofErr w:type="gramStart"/>
      <w:r w:rsidRPr="00E92A49">
        <w:t>participation</w:t>
      </w:r>
      <w:bookmarkEnd w:id="8"/>
      <w:proofErr w:type="gramEnd"/>
    </w:p>
    <w:p w14:paraId="004C57D1" w14:textId="59660087" w:rsidR="0084456A" w:rsidRPr="00FC230F" w:rsidRDefault="00CF25DC" w:rsidP="00FC230F">
      <w:pPr>
        <w:spacing w:after="480"/>
        <w:rPr>
          <w:b/>
          <w:i/>
        </w:rPr>
      </w:pPr>
      <w:r w:rsidRPr="00645B05">
        <w:rPr>
          <w:i/>
          <w:sz w:val="24"/>
        </w:rPr>
        <w:t xml:space="preserve">The Scheme will engage and maintain participation, with institutions on-board to cover </w:t>
      </w:r>
      <w:r w:rsidRPr="00FB3DFD">
        <w:rPr>
          <w:rFonts w:cs="Arial"/>
          <w:b/>
          <w:i/>
          <w:sz w:val="24"/>
        </w:rPr>
        <w:t>≥95%</w:t>
      </w:r>
      <w:r w:rsidRPr="00645B05">
        <w:rPr>
          <w:rFonts w:cs="Arial"/>
          <w:i/>
          <w:sz w:val="24"/>
        </w:rPr>
        <w:t xml:space="preserve"> of applications in progress.</w:t>
      </w:r>
    </w:p>
    <w:p w14:paraId="3E3F09F4" w14:textId="669A2D20" w:rsidR="00DE4B4A" w:rsidRPr="0025260C" w:rsidRDefault="0084456A" w:rsidP="00055E90">
      <w:pPr>
        <w:spacing w:after="0"/>
        <w:rPr>
          <w:sz w:val="24"/>
        </w:rPr>
      </w:pPr>
      <w:r>
        <w:rPr>
          <w:sz w:val="24"/>
        </w:rPr>
        <w:t>This data wa</w:t>
      </w:r>
      <w:r w:rsidR="006C4847">
        <w:rPr>
          <w:sz w:val="24"/>
        </w:rPr>
        <w:t xml:space="preserve">s accurate as </w:t>
      </w:r>
      <w:proofErr w:type="gramStart"/>
      <w:r w:rsidR="006C4847" w:rsidRPr="0025260C">
        <w:rPr>
          <w:sz w:val="24"/>
        </w:rPr>
        <w:t>at</w:t>
      </w:r>
      <w:proofErr w:type="gramEnd"/>
      <w:r w:rsidR="006C4847" w:rsidRPr="0025260C">
        <w:rPr>
          <w:sz w:val="24"/>
        </w:rPr>
        <w:t xml:space="preserve"> </w:t>
      </w:r>
      <w:r w:rsidR="0025260C" w:rsidRPr="0025260C">
        <w:rPr>
          <w:sz w:val="24"/>
        </w:rPr>
        <w:t>29</w:t>
      </w:r>
      <w:r w:rsidR="00797ED9" w:rsidRPr="0025260C">
        <w:rPr>
          <w:sz w:val="24"/>
        </w:rPr>
        <w:t xml:space="preserve"> </w:t>
      </w:r>
      <w:r w:rsidR="0025260C" w:rsidRPr="0025260C">
        <w:rPr>
          <w:sz w:val="24"/>
        </w:rPr>
        <w:t>December</w:t>
      </w:r>
      <w:r w:rsidR="00797ED9" w:rsidRPr="0025260C">
        <w:rPr>
          <w:sz w:val="24"/>
        </w:rPr>
        <w:t xml:space="preserve"> 2023</w:t>
      </w:r>
      <w:r w:rsidR="006C4847" w:rsidRPr="0025260C">
        <w:rPr>
          <w:sz w:val="24"/>
        </w:rPr>
        <w:t>.</w:t>
      </w:r>
      <w:r w:rsidR="009C2810" w:rsidRPr="0025260C">
        <w:rPr>
          <w:sz w:val="24"/>
        </w:rPr>
        <w:t xml:space="preserve"> Since the beginning of th</w:t>
      </w:r>
      <w:r w:rsidRPr="0025260C">
        <w:rPr>
          <w:sz w:val="24"/>
        </w:rPr>
        <w:t>e Scheme, significant progress was</w:t>
      </w:r>
      <w:r w:rsidR="002555BB" w:rsidRPr="0025260C">
        <w:rPr>
          <w:sz w:val="24"/>
        </w:rPr>
        <w:t xml:space="preserve"> made in this area, and the Scheme has delivered</w:t>
      </w:r>
      <w:r w:rsidR="009C2810" w:rsidRPr="0025260C">
        <w:rPr>
          <w:sz w:val="24"/>
        </w:rPr>
        <w:t xml:space="preserve"> on this target</w:t>
      </w:r>
      <w:r w:rsidR="002555BB" w:rsidRPr="0025260C">
        <w:rPr>
          <w:sz w:val="24"/>
        </w:rPr>
        <w:t xml:space="preserve"> since 2021-22</w:t>
      </w:r>
      <w:r w:rsidR="009C2810" w:rsidRPr="0025260C">
        <w:rPr>
          <w:sz w:val="24"/>
        </w:rPr>
        <w:t xml:space="preserve">. </w:t>
      </w:r>
    </w:p>
    <w:p w14:paraId="4FE6149F" w14:textId="77777777" w:rsidR="00FC423B" w:rsidRPr="0025260C" w:rsidRDefault="00FC423B" w:rsidP="00055E90">
      <w:pPr>
        <w:spacing w:after="0"/>
        <w:rPr>
          <w:sz w:val="24"/>
        </w:rPr>
      </w:pPr>
    </w:p>
    <w:p w14:paraId="111197AF" w14:textId="7BE8B071" w:rsidR="00266D2D" w:rsidRDefault="00DE4B4A" w:rsidP="00DE4B4A">
      <w:pPr>
        <w:spacing w:after="0"/>
        <w:ind w:firstLine="720"/>
        <w:rPr>
          <w:b/>
          <w:sz w:val="24"/>
        </w:rPr>
      </w:pPr>
      <w:r w:rsidRPr="0025260C">
        <w:rPr>
          <w:b/>
          <w:sz w:val="24"/>
        </w:rPr>
        <w:t>Figure 2b – Percentage</w:t>
      </w:r>
      <w:r w:rsidRPr="00DE4B4A">
        <w:rPr>
          <w:b/>
          <w:sz w:val="24"/>
        </w:rPr>
        <w:t xml:space="preserve"> of On-Board Institutions Covering Applications in Progress </w:t>
      </w:r>
    </w:p>
    <w:p w14:paraId="28C5DEF5" w14:textId="77777777" w:rsidR="00797ED9" w:rsidRPr="00DE4B4A" w:rsidRDefault="00797ED9" w:rsidP="00DE4B4A">
      <w:pPr>
        <w:spacing w:after="0"/>
        <w:ind w:firstLine="720"/>
        <w:rPr>
          <w:b/>
          <w:sz w:val="24"/>
        </w:rPr>
      </w:pPr>
    </w:p>
    <w:p w14:paraId="4E1E1033" w14:textId="681F0022" w:rsidR="00C07B28" w:rsidRPr="008255D1" w:rsidRDefault="00230ED6" w:rsidP="008255D1">
      <w:pPr>
        <w:pStyle w:val="ListParagraph"/>
        <w:spacing w:after="0"/>
      </w:pPr>
      <w:r>
        <w:rPr>
          <w:noProof/>
          <w:lang w:eastAsia="en-AU"/>
        </w:rPr>
        <w:drawing>
          <wp:inline distT="0" distB="0" distL="0" distR="0" wp14:anchorId="08550035" wp14:editId="47502C69">
            <wp:extent cx="5163820" cy="2341245"/>
            <wp:effectExtent l="0" t="0" r="0" b="1905"/>
            <wp:docPr id="1158223379" name="Picture 1158223379" descr="Graph for metric 2B Institutions. Graph is of percentage versus financial year. Results are 85% in 2018-19; 86% in 2019-20; 94% in 2020-21; 98% in 2021-22; 99% in 2022-23 and 99% in 2023-24 to date, against a target of 95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23379" name="Picture 1158223379" descr="Graph for metric 2B Institutions. Graph is of percentage versus financial year. Results are 85% in 2018-19; 86% in 2019-20; 94% in 2020-21; 98% in 2021-22; 99% in 2022-23 and 99% in 2023-24 to date, against a target of 95%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348A9" w14:textId="77777777" w:rsidR="00797ED9" w:rsidRDefault="00797ED9" w:rsidP="009C2810">
      <w:pPr>
        <w:spacing w:after="0"/>
        <w:ind w:firstLine="720"/>
      </w:pPr>
    </w:p>
    <w:p w14:paraId="7260643E" w14:textId="55F32172" w:rsidR="000B5D5A" w:rsidRDefault="008255D1" w:rsidP="009C2810">
      <w:pPr>
        <w:spacing w:after="0"/>
        <w:ind w:firstLine="720"/>
        <w:rPr>
          <w:i/>
        </w:rPr>
      </w:pPr>
      <w:r>
        <w:t xml:space="preserve">Source: </w:t>
      </w:r>
      <w:r w:rsidRPr="008255D1">
        <w:rPr>
          <w:i/>
        </w:rPr>
        <w:t>N</w:t>
      </w:r>
      <w:r w:rsidR="009C2810">
        <w:rPr>
          <w:i/>
        </w:rPr>
        <w:t xml:space="preserve">ational Redress </w:t>
      </w:r>
      <w:r w:rsidR="009C2810" w:rsidRPr="00797ED9">
        <w:rPr>
          <w:i/>
        </w:rPr>
        <w:t xml:space="preserve">Scheme, </w:t>
      </w:r>
      <w:r w:rsidR="0025260C">
        <w:rPr>
          <w:i/>
        </w:rPr>
        <w:t>December</w:t>
      </w:r>
      <w:r w:rsidR="00797ED9" w:rsidRPr="00797ED9">
        <w:rPr>
          <w:i/>
        </w:rPr>
        <w:t xml:space="preserve"> 2023</w:t>
      </w:r>
    </w:p>
    <w:p w14:paraId="05382B4F" w14:textId="5FD5E366" w:rsidR="003B33FC" w:rsidRDefault="003B33FC" w:rsidP="009C2810">
      <w:pPr>
        <w:spacing w:after="0"/>
        <w:ind w:firstLine="720"/>
        <w:rPr>
          <w:i/>
        </w:rPr>
      </w:pPr>
    </w:p>
    <w:p w14:paraId="2B81ADD4" w14:textId="45F9C670" w:rsidR="003B33FC" w:rsidRDefault="003B33FC" w:rsidP="00E267E2">
      <w:pPr>
        <w:spacing w:after="0"/>
        <w:rPr>
          <w:i/>
        </w:rPr>
      </w:pPr>
    </w:p>
    <w:p w14:paraId="0A72C2B5" w14:textId="77777777" w:rsidR="00E267E2" w:rsidRDefault="00E267E2" w:rsidP="003B33FC">
      <w:pPr>
        <w:spacing w:after="0"/>
        <w:rPr>
          <w:i/>
        </w:rPr>
      </w:pPr>
    </w:p>
    <w:p w14:paraId="19E8DA7D" w14:textId="77777777" w:rsidR="00E267E2" w:rsidRDefault="00E267E2" w:rsidP="003B33FC">
      <w:pPr>
        <w:spacing w:after="0"/>
        <w:rPr>
          <w:i/>
        </w:rPr>
      </w:pPr>
    </w:p>
    <w:p w14:paraId="1AE4CE6A" w14:textId="77777777" w:rsidR="00E267E2" w:rsidRDefault="00E267E2" w:rsidP="003B33FC">
      <w:pPr>
        <w:spacing w:after="0"/>
        <w:rPr>
          <w:i/>
        </w:rPr>
      </w:pPr>
    </w:p>
    <w:p w14:paraId="3B1E80FF" w14:textId="77777777" w:rsidR="00E267E2" w:rsidRDefault="00E267E2" w:rsidP="003B33FC">
      <w:pPr>
        <w:spacing w:after="0"/>
        <w:rPr>
          <w:i/>
        </w:rPr>
      </w:pPr>
    </w:p>
    <w:p w14:paraId="15882174" w14:textId="77777777" w:rsidR="00E267E2" w:rsidRDefault="00E267E2" w:rsidP="003B33FC">
      <w:pPr>
        <w:spacing w:after="0"/>
        <w:rPr>
          <w:i/>
        </w:rPr>
      </w:pPr>
    </w:p>
    <w:p w14:paraId="4F7F1FDF" w14:textId="77777777" w:rsidR="00E267E2" w:rsidRDefault="00E267E2" w:rsidP="003B33FC">
      <w:pPr>
        <w:spacing w:after="0"/>
        <w:rPr>
          <w:i/>
        </w:rPr>
      </w:pPr>
    </w:p>
    <w:p w14:paraId="3277F885" w14:textId="276C3FD0" w:rsidR="00E267E2" w:rsidRDefault="00E267E2" w:rsidP="003B33FC">
      <w:pPr>
        <w:spacing w:after="0"/>
        <w:rPr>
          <w:i/>
        </w:rPr>
      </w:pPr>
    </w:p>
    <w:p w14:paraId="7ED8C781" w14:textId="3A6B8195" w:rsidR="00D9431A" w:rsidRDefault="00D9431A" w:rsidP="003B33FC">
      <w:pPr>
        <w:spacing w:after="0"/>
        <w:rPr>
          <w:i/>
        </w:rPr>
      </w:pPr>
    </w:p>
    <w:p w14:paraId="495706EC" w14:textId="630028CC" w:rsidR="00D9431A" w:rsidRDefault="00D9431A" w:rsidP="003B33FC">
      <w:pPr>
        <w:spacing w:after="0"/>
        <w:rPr>
          <w:i/>
        </w:rPr>
      </w:pPr>
    </w:p>
    <w:p w14:paraId="182A087B" w14:textId="7A088F53" w:rsidR="00D9431A" w:rsidRDefault="00D9431A" w:rsidP="003B33FC">
      <w:pPr>
        <w:spacing w:after="0"/>
        <w:rPr>
          <w:i/>
        </w:rPr>
      </w:pPr>
    </w:p>
    <w:p w14:paraId="356F4F93" w14:textId="4EDECCA4" w:rsidR="00D9431A" w:rsidRDefault="00D9431A" w:rsidP="003B33FC">
      <w:pPr>
        <w:spacing w:after="0"/>
        <w:rPr>
          <w:i/>
        </w:rPr>
      </w:pPr>
    </w:p>
    <w:p w14:paraId="545D969B" w14:textId="34030ABF" w:rsidR="00D9431A" w:rsidRDefault="00D9431A" w:rsidP="003B33FC">
      <w:pPr>
        <w:spacing w:after="0"/>
        <w:rPr>
          <w:i/>
        </w:rPr>
      </w:pPr>
    </w:p>
    <w:p w14:paraId="73C02184" w14:textId="4DF121A0" w:rsidR="00D9431A" w:rsidRDefault="00D9431A" w:rsidP="003B33FC">
      <w:pPr>
        <w:spacing w:after="0"/>
        <w:rPr>
          <w:i/>
        </w:rPr>
      </w:pPr>
    </w:p>
    <w:p w14:paraId="36A3C859" w14:textId="01A08A19" w:rsidR="00D9431A" w:rsidRDefault="00D9431A" w:rsidP="003B33FC">
      <w:pPr>
        <w:spacing w:after="0"/>
        <w:rPr>
          <w:i/>
        </w:rPr>
      </w:pPr>
    </w:p>
    <w:p w14:paraId="06DE9982" w14:textId="59282B6D" w:rsidR="00F7416F" w:rsidRDefault="00F7416F" w:rsidP="003B33FC">
      <w:pPr>
        <w:spacing w:after="0"/>
        <w:rPr>
          <w:i/>
        </w:rPr>
      </w:pPr>
    </w:p>
    <w:p w14:paraId="7516DAB9" w14:textId="03DAC171" w:rsidR="00F7416F" w:rsidRDefault="00F7416F" w:rsidP="003B33FC">
      <w:pPr>
        <w:spacing w:after="0"/>
        <w:rPr>
          <w:i/>
        </w:rPr>
      </w:pPr>
    </w:p>
    <w:p w14:paraId="6496CA1A" w14:textId="77777777" w:rsidR="00D9431A" w:rsidRDefault="00D9431A" w:rsidP="003B33FC">
      <w:pPr>
        <w:spacing w:after="0"/>
        <w:rPr>
          <w:i/>
        </w:rPr>
      </w:pPr>
    </w:p>
    <w:p w14:paraId="3454D580" w14:textId="77777777" w:rsidR="005E47B8" w:rsidRDefault="005E47B8" w:rsidP="003B33FC">
      <w:pPr>
        <w:spacing w:after="0"/>
        <w:rPr>
          <w:i/>
        </w:rPr>
      </w:pPr>
    </w:p>
    <w:p w14:paraId="5A2D9BC0" w14:textId="77777777" w:rsidR="005E47B8" w:rsidRDefault="005E47B8" w:rsidP="003B33FC">
      <w:pPr>
        <w:spacing w:after="0"/>
        <w:rPr>
          <w:i/>
        </w:rPr>
      </w:pPr>
    </w:p>
    <w:p w14:paraId="466A3965" w14:textId="77777777" w:rsidR="005E47B8" w:rsidRDefault="005E47B8" w:rsidP="003B33FC">
      <w:pPr>
        <w:spacing w:after="0"/>
        <w:rPr>
          <w:i/>
        </w:rPr>
      </w:pPr>
    </w:p>
    <w:p w14:paraId="3D4EDBE9" w14:textId="7C8848B2" w:rsidR="003B33FC" w:rsidRDefault="003B33FC" w:rsidP="003B33FC">
      <w:pPr>
        <w:spacing w:after="0"/>
        <w:rPr>
          <w:i/>
        </w:rPr>
      </w:pPr>
    </w:p>
    <w:p w14:paraId="48068E64" w14:textId="77777777" w:rsidR="00CF25DC" w:rsidRPr="00E92A49" w:rsidRDefault="00CF25DC" w:rsidP="00CF25DC">
      <w:pPr>
        <w:pStyle w:val="Heading2"/>
        <w:spacing w:before="0"/>
      </w:pPr>
      <w:bookmarkStart w:id="9" w:name="_Toc134524958"/>
      <w:r>
        <w:t>2c</w:t>
      </w:r>
      <w:r w:rsidRPr="00E92A49">
        <w:t xml:space="preserve">. </w:t>
      </w:r>
      <w:r>
        <w:t>Quality Decision Making</w:t>
      </w:r>
      <w:bookmarkEnd w:id="9"/>
      <w:r>
        <w:t xml:space="preserve"> </w:t>
      </w:r>
    </w:p>
    <w:p w14:paraId="10EC3206" w14:textId="500C581D" w:rsidR="009A3998" w:rsidRPr="00FC230F" w:rsidRDefault="00CF25DC" w:rsidP="00FC230F">
      <w:pPr>
        <w:spacing w:after="480"/>
        <w:rPr>
          <w:b/>
          <w:i/>
        </w:rPr>
      </w:pPr>
      <w:r w:rsidRPr="009A3998">
        <w:rPr>
          <w:i/>
          <w:sz w:val="24"/>
        </w:rPr>
        <w:t xml:space="preserve">The Scheme will maintain quality decision-making, with </w:t>
      </w:r>
      <w:r w:rsidRPr="00FB3DFD">
        <w:rPr>
          <w:rFonts w:cs="Arial"/>
          <w:b/>
          <w:i/>
          <w:sz w:val="24"/>
        </w:rPr>
        <w:t>≥</w:t>
      </w:r>
      <w:r w:rsidRPr="00FB3DFD">
        <w:rPr>
          <w:b/>
          <w:i/>
          <w:sz w:val="24"/>
        </w:rPr>
        <w:t>95%</w:t>
      </w:r>
      <w:r w:rsidRPr="009A3998">
        <w:rPr>
          <w:i/>
          <w:sz w:val="24"/>
        </w:rPr>
        <w:t xml:space="preserve"> of initial determinations reflecting the final outcome.</w:t>
      </w:r>
    </w:p>
    <w:p w14:paraId="47D9CC4A" w14:textId="0E8D0716" w:rsidR="003B33FC" w:rsidRPr="00E77FDF" w:rsidRDefault="002555BB" w:rsidP="003B33FC">
      <w:pPr>
        <w:spacing w:after="0"/>
        <w:rPr>
          <w:sz w:val="24"/>
        </w:rPr>
      </w:pPr>
      <w:r>
        <w:rPr>
          <w:sz w:val="24"/>
        </w:rPr>
        <w:t>The following data wa</w:t>
      </w:r>
      <w:r w:rsidR="003B33FC">
        <w:rPr>
          <w:sz w:val="24"/>
        </w:rPr>
        <w:t xml:space="preserve">s accurate </w:t>
      </w:r>
      <w:r w:rsidR="003B33FC" w:rsidRPr="00E77FDF">
        <w:rPr>
          <w:sz w:val="24"/>
        </w:rPr>
        <w:t xml:space="preserve">as </w:t>
      </w:r>
      <w:proofErr w:type="gramStart"/>
      <w:r w:rsidR="003B33FC" w:rsidRPr="00E77FDF">
        <w:rPr>
          <w:sz w:val="24"/>
        </w:rPr>
        <w:t>at</w:t>
      </w:r>
      <w:proofErr w:type="gramEnd"/>
      <w:r w:rsidR="003B33FC" w:rsidRPr="00E77FDF">
        <w:rPr>
          <w:sz w:val="24"/>
        </w:rPr>
        <w:t xml:space="preserve"> </w:t>
      </w:r>
      <w:r w:rsidR="00E77FDF" w:rsidRPr="00E77FDF">
        <w:rPr>
          <w:sz w:val="24"/>
        </w:rPr>
        <w:t>29</w:t>
      </w:r>
      <w:r w:rsidR="00D9431A" w:rsidRPr="00E77FDF">
        <w:rPr>
          <w:sz w:val="24"/>
        </w:rPr>
        <w:t xml:space="preserve"> </w:t>
      </w:r>
      <w:r w:rsidR="00E77FDF" w:rsidRPr="00E77FDF">
        <w:rPr>
          <w:sz w:val="24"/>
        </w:rPr>
        <w:t>December</w:t>
      </w:r>
      <w:r w:rsidR="00D9431A" w:rsidRPr="00E77FDF">
        <w:rPr>
          <w:sz w:val="24"/>
        </w:rPr>
        <w:t xml:space="preserve"> 2023</w:t>
      </w:r>
      <w:r w:rsidR="003B33FC" w:rsidRPr="00E77FDF">
        <w:rPr>
          <w:sz w:val="24"/>
        </w:rPr>
        <w:t xml:space="preserve">. The Scheme has consistently delivered on this target with 99% success rate. </w:t>
      </w:r>
      <w:r w:rsidR="00EC1F4D" w:rsidRPr="00E77FDF">
        <w:rPr>
          <w:sz w:val="24"/>
        </w:rPr>
        <w:t>This measure of quality decision</w:t>
      </w:r>
      <w:r w:rsidR="008E4C98">
        <w:rPr>
          <w:sz w:val="24"/>
        </w:rPr>
        <w:t>-</w:t>
      </w:r>
      <w:r w:rsidR="00EC1F4D" w:rsidRPr="00E77FDF">
        <w:rPr>
          <w:sz w:val="24"/>
        </w:rPr>
        <w:t>making consider</w:t>
      </w:r>
      <w:r w:rsidR="00F92649">
        <w:rPr>
          <w:sz w:val="24"/>
        </w:rPr>
        <w:t>ed</w:t>
      </w:r>
      <w:r w:rsidR="00EC1F4D" w:rsidRPr="00E77FDF">
        <w:rPr>
          <w:sz w:val="24"/>
        </w:rPr>
        <w:t xml:space="preserve"> the </w:t>
      </w:r>
      <w:r w:rsidR="007621E4">
        <w:rPr>
          <w:sz w:val="24"/>
        </w:rPr>
        <w:t xml:space="preserve">outcomes of the </w:t>
      </w:r>
      <w:r w:rsidR="00EC1F4D" w:rsidRPr="00E77FDF">
        <w:rPr>
          <w:sz w:val="24"/>
        </w:rPr>
        <w:t xml:space="preserve">review process. Less than 1% of all </w:t>
      </w:r>
      <w:r w:rsidR="005B3FD6" w:rsidRPr="00E77FDF">
        <w:rPr>
          <w:sz w:val="24"/>
        </w:rPr>
        <w:t xml:space="preserve">initial determinations </w:t>
      </w:r>
      <w:r w:rsidR="008E4C98">
        <w:rPr>
          <w:sz w:val="24"/>
        </w:rPr>
        <w:t>we</w:t>
      </w:r>
      <w:r w:rsidR="00EC1F4D" w:rsidRPr="00E77FDF">
        <w:rPr>
          <w:sz w:val="24"/>
        </w:rPr>
        <w:t>re changed</w:t>
      </w:r>
      <w:r w:rsidR="005B3FD6" w:rsidRPr="00E77FDF">
        <w:rPr>
          <w:sz w:val="24"/>
        </w:rPr>
        <w:t xml:space="preserve"> at the review stage</w:t>
      </w:r>
      <w:r w:rsidR="00EC1F4D" w:rsidRPr="00E77FDF">
        <w:rPr>
          <w:sz w:val="24"/>
        </w:rPr>
        <w:t>.</w:t>
      </w:r>
    </w:p>
    <w:p w14:paraId="097EFE57" w14:textId="15C4445D" w:rsidR="003B33FC" w:rsidRPr="00E77FDF" w:rsidRDefault="003B33FC" w:rsidP="003B33FC">
      <w:pPr>
        <w:spacing w:after="0"/>
        <w:ind w:firstLine="720"/>
        <w:rPr>
          <w:b/>
          <w:sz w:val="24"/>
        </w:rPr>
      </w:pPr>
    </w:p>
    <w:p w14:paraId="257F6294" w14:textId="77777777" w:rsidR="002555BB" w:rsidRPr="00E77FDF" w:rsidRDefault="002555BB" w:rsidP="003B33FC">
      <w:pPr>
        <w:spacing w:after="0"/>
        <w:ind w:firstLine="720"/>
        <w:rPr>
          <w:b/>
          <w:sz w:val="24"/>
        </w:rPr>
      </w:pPr>
    </w:p>
    <w:p w14:paraId="67EFFFB5" w14:textId="68B412FE" w:rsidR="003B33FC" w:rsidRPr="00DE4B4A" w:rsidRDefault="003B33FC" w:rsidP="003B33FC">
      <w:pPr>
        <w:spacing w:after="0"/>
        <w:ind w:firstLine="720"/>
        <w:rPr>
          <w:b/>
          <w:sz w:val="24"/>
        </w:rPr>
      </w:pPr>
      <w:r w:rsidRPr="00E77FDF">
        <w:rPr>
          <w:b/>
          <w:sz w:val="24"/>
        </w:rPr>
        <w:t>Figure 2c – Percentage</w:t>
      </w:r>
      <w:r w:rsidRPr="00DE4B4A">
        <w:rPr>
          <w:b/>
          <w:sz w:val="24"/>
        </w:rPr>
        <w:t xml:space="preserve"> of Initial determinations reflecting the outcome. </w:t>
      </w:r>
    </w:p>
    <w:p w14:paraId="7D31B41E" w14:textId="0472E61C" w:rsidR="003B33FC" w:rsidRDefault="00E77FDF" w:rsidP="003B33FC">
      <w:pPr>
        <w:pStyle w:val="ListParagraph"/>
        <w:spacing w:after="0"/>
      </w:pPr>
      <w:r>
        <w:rPr>
          <w:noProof/>
          <w:lang w:eastAsia="en-AU"/>
        </w:rPr>
        <w:drawing>
          <wp:inline distT="0" distB="0" distL="0" distR="0" wp14:anchorId="6504B7AF" wp14:editId="63AEED64">
            <wp:extent cx="4986655" cy="2341245"/>
            <wp:effectExtent l="0" t="0" r="4445" b="1905"/>
            <wp:docPr id="12" name="Picture 12" descr="Graph for metric 2C Determinations. This graph is of percentage versus financial year. Results are 99% in each year from 2019-20 to 2022-23 and then 100% for 2023-24 to date, against a target of 95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 for metric 2C Determinations. This graph is of percentage versus financial year. Results are 99% in each year from 2019-20 to 2022-23 and then 100% for 2023-24 to date, against a target of 95%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BC7989" w14:textId="6FEA8F61" w:rsidR="003B33FC" w:rsidRDefault="003B33FC" w:rsidP="003B33FC">
      <w:pPr>
        <w:spacing w:after="0"/>
        <w:rPr>
          <w:b/>
          <w:sz w:val="28"/>
          <w:u w:val="single"/>
        </w:rPr>
      </w:pPr>
    </w:p>
    <w:p w14:paraId="6D171FFA" w14:textId="11F4A8A3" w:rsidR="003B33FC" w:rsidRDefault="003B33FC" w:rsidP="003B33FC">
      <w:pPr>
        <w:spacing w:after="0"/>
        <w:ind w:firstLine="720"/>
        <w:rPr>
          <w:i/>
        </w:rPr>
      </w:pPr>
      <w:r>
        <w:t xml:space="preserve">Source: </w:t>
      </w:r>
      <w:r w:rsidRPr="008255D1">
        <w:rPr>
          <w:i/>
        </w:rPr>
        <w:t>N</w:t>
      </w:r>
      <w:r>
        <w:rPr>
          <w:i/>
        </w:rPr>
        <w:t xml:space="preserve">ational Redress </w:t>
      </w:r>
      <w:r w:rsidRPr="00D9431A">
        <w:rPr>
          <w:i/>
        </w:rPr>
        <w:t xml:space="preserve">Scheme, </w:t>
      </w:r>
      <w:r w:rsidR="00E77FDF">
        <w:rPr>
          <w:i/>
        </w:rPr>
        <w:t>December</w:t>
      </w:r>
      <w:r w:rsidR="00D9431A" w:rsidRPr="00D9431A">
        <w:rPr>
          <w:i/>
        </w:rPr>
        <w:t xml:space="preserve"> 2023</w:t>
      </w:r>
    </w:p>
    <w:p w14:paraId="2B32A6C5" w14:textId="6D1753D6" w:rsidR="003B33FC" w:rsidRDefault="003B33FC" w:rsidP="003B33FC">
      <w:pPr>
        <w:spacing w:after="0"/>
        <w:ind w:firstLine="720"/>
        <w:rPr>
          <w:i/>
        </w:rPr>
      </w:pPr>
    </w:p>
    <w:p w14:paraId="148B690A" w14:textId="77777777" w:rsidR="003B33FC" w:rsidRPr="009C2810" w:rsidRDefault="003B33FC" w:rsidP="003B33FC">
      <w:pPr>
        <w:spacing w:after="0"/>
        <w:rPr>
          <w:b/>
          <w:sz w:val="28"/>
          <w:u w:val="single"/>
        </w:rPr>
        <w:sectPr w:rsidR="003B33FC" w:rsidRPr="009C2810" w:rsidSect="00540D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F2980E" w14:textId="77777777" w:rsidR="00055E90" w:rsidRDefault="00055E90" w:rsidP="00055E90">
      <w:pPr>
        <w:pStyle w:val="ListParagraph"/>
        <w:spacing w:after="0"/>
        <w:rPr>
          <w:b/>
          <w:sz w:val="28"/>
          <w:u w:val="single"/>
        </w:rPr>
      </w:pPr>
    </w:p>
    <w:p w14:paraId="53C042E7" w14:textId="77777777" w:rsidR="000B5D5A" w:rsidRDefault="000B5D5A" w:rsidP="00055E90">
      <w:pPr>
        <w:pStyle w:val="ListParagraph"/>
        <w:spacing w:after="0"/>
        <w:rPr>
          <w:b/>
          <w:sz w:val="28"/>
          <w:u w:val="single"/>
        </w:rPr>
      </w:pPr>
    </w:p>
    <w:p w14:paraId="61E7FE27" w14:textId="77777777" w:rsidR="005E47B8" w:rsidRDefault="005E47B8" w:rsidP="00055E90">
      <w:pPr>
        <w:pStyle w:val="ListParagraph"/>
        <w:spacing w:after="0"/>
        <w:rPr>
          <w:b/>
          <w:sz w:val="28"/>
          <w:u w:val="single"/>
        </w:rPr>
      </w:pPr>
    </w:p>
    <w:p w14:paraId="628AECE2" w14:textId="77777777" w:rsidR="005E47B8" w:rsidRDefault="005E47B8" w:rsidP="00055E90">
      <w:pPr>
        <w:pStyle w:val="ListParagraph"/>
        <w:spacing w:after="0"/>
        <w:rPr>
          <w:b/>
          <w:sz w:val="28"/>
          <w:u w:val="single"/>
        </w:rPr>
      </w:pPr>
    </w:p>
    <w:p w14:paraId="708B34B9" w14:textId="77777777" w:rsidR="005E47B8" w:rsidRDefault="005E47B8" w:rsidP="00055E90">
      <w:pPr>
        <w:pStyle w:val="ListParagraph"/>
        <w:spacing w:after="0"/>
        <w:rPr>
          <w:b/>
          <w:sz w:val="28"/>
          <w:u w:val="single"/>
        </w:rPr>
      </w:pPr>
    </w:p>
    <w:p w14:paraId="6845F809" w14:textId="77777777" w:rsidR="005E47B8" w:rsidRDefault="005E47B8" w:rsidP="00055E90">
      <w:pPr>
        <w:pStyle w:val="ListParagraph"/>
        <w:spacing w:after="0"/>
        <w:rPr>
          <w:b/>
          <w:sz w:val="28"/>
          <w:u w:val="single"/>
        </w:rPr>
      </w:pPr>
    </w:p>
    <w:p w14:paraId="4A16F0A3" w14:textId="77777777" w:rsidR="00CF25DC" w:rsidRDefault="00CF25DC" w:rsidP="00CF25DC">
      <w:pPr>
        <w:pStyle w:val="Heading1"/>
        <w:spacing w:before="0"/>
      </w:pPr>
      <w:bookmarkStart w:id="10" w:name="_Toc134524959"/>
      <w:r>
        <w:t>3. Equity of Access</w:t>
      </w:r>
      <w:bookmarkEnd w:id="10"/>
    </w:p>
    <w:p w14:paraId="6D1A7A46" w14:textId="77777777" w:rsidR="00CF25DC" w:rsidRPr="00E92A49" w:rsidRDefault="00CF25DC" w:rsidP="00CF25DC">
      <w:pPr>
        <w:pStyle w:val="Heading2"/>
        <w:spacing w:before="0"/>
      </w:pPr>
      <w:bookmarkStart w:id="11" w:name="_Toc134524960"/>
      <w:r w:rsidRPr="00E92A49">
        <w:t>3a. Scheme accessibility</w:t>
      </w:r>
      <w:bookmarkEnd w:id="11"/>
    </w:p>
    <w:p w14:paraId="4C08012C" w14:textId="4C441EEA" w:rsidR="00755C67" w:rsidRPr="00FC230F" w:rsidRDefault="00CF25DC" w:rsidP="00FC230F">
      <w:pPr>
        <w:spacing w:after="480"/>
        <w:rPr>
          <w:i/>
        </w:rPr>
      </w:pPr>
      <w:r w:rsidRPr="00CA0553">
        <w:rPr>
          <w:i/>
        </w:rPr>
        <w:t xml:space="preserve">The number of survivors who successfully lodge an application with the Scheme each year, published according to survivor demographics, such as participation by First Nations / rural and remote / people with disability / </w:t>
      </w:r>
      <w:proofErr w:type="gramStart"/>
      <w:r w:rsidRPr="00CA0553">
        <w:rPr>
          <w:i/>
        </w:rPr>
        <w:t>elderly</w:t>
      </w:r>
      <w:proofErr w:type="gramEnd"/>
    </w:p>
    <w:tbl>
      <w:tblPr>
        <w:tblStyle w:val="PlainTable4"/>
        <w:tblW w:w="0" w:type="auto"/>
        <w:tblLook w:val="0620" w:firstRow="1" w:lastRow="0" w:firstColumn="0" w:lastColumn="0" w:noHBand="1" w:noVBand="1"/>
        <w:tblCaption w:val="The Scheme applicant Demographics"/>
        <w:tblDescription w:val="As at 30 December 2022, the demographics of applicants over the life of the Scheme "/>
      </w:tblPr>
      <w:tblGrid>
        <w:gridCol w:w="5228"/>
        <w:gridCol w:w="5228"/>
      </w:tblGrid>
      <w:tr w:rsidR="00702B87" w14:paraId="4BA05EDA" w14:textId="77777777" w:rsidTr="0019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28" w:type="dxa"/>
          </w:tcPr>
          <w:p w14:paraId="042D8ACB" w14:textId="4F35BE8D" w:rsidR="00702B87" w:rsidRDefault="00702B87" w:rsidP="00684F57">
            <w:pPr>
              <w:rPr>
                <w:sz w:val="24"/>
              </w:rPr>
            </w:pPr>
            <w:r w:rsidRPr="002A3151">
              <w:rPr>
                <w:sz w:val="24"/>
              </w:rPr>
              <w:t xml:space="preserve">As </w:t>
            </w:r>
            <w:proofErr w:type="gramStart"/>
            <w:r w:rsidRPr="002A3151">
              <w:rPr>
                <w:sz w:val="24"/>
              </w:rPr>
              <w:t>at</w:t>
            </w:r>
            <w:proofErr w:type="gramEnd"/>
            <w:r w:rsidRPr="002A3151">
              <w:rPr>
                <w:sz w:val="24"/>
              </w:rPr>
              <w:t xml:space="preserve"> </w:t>
            </w:r>
            <w:r w:rsidRPr="00E77FDF">
              <w:rPr>
                <w:sz w:val="24"/>
              </w:rPr>
              <w:t>29 December 2023 the demographics</w:t>
            </w:r>
            <w:r w:rsidRPr="000B5D5A">
              <w:rPr>
                <w:sz w:val="24"/>
              </w:rPr>
              <w:t xml:space="preserve"> of applicants over the life of the Scheme were:</w:t>
            </w:r>
            <w:r w:rsidRPr="00733D3B">
              <w:rPr>
                <w:noProof/>
                <w:lang w:eastAsia="en-AU"/>
              </w:rPr>
              <w:t xml:space="preserve">  </w:t>
            </w:r>
          </w:p>
          <w:p w14:paraId="143D841E" w14:textId="77777777" w:rsidR="00702B87" w:rsidRDefault="00702B87" w:rsidP="00055E90">
            <w:pPr>
              <w:rPr>
                <w:sz w:val="24"/>
              </w:rPr>
            </w:pPr>
          </w:p>
        </w:tc>
        <w:tc>
          <w:tcPr>
            <w:tcW w:w="5228" w:type="dxa"/>
          </w:tcPr>
          <w:p w14:paraId="17023B0F" w14:textId="77777777" w:rsidR="00702B87" w:rsidRDefault="00702B87" w:rsidP="00055E90">
            <w:pPr>
              <w:rPr>
                <w:sz w:val="24"/>
              </w:rPr>
            </w:pPr>
          </w:p>
        </w:tc>
      </w:tr>
      <w:tr w:rsidR="00702B87" w14:paraId="67EE74EA" w14:textId="77777777" w:rsidTr="0019199E">
        <w:tc>
          <w:tcPr>
            <w:tcW w:w="5228" w:type="dxa"/>
          </w:tcPr>
          <w:p w14:paraId="6263B812" w14:textId="1AEB9032" w:rsidR="00702B87" w:rsidRDefault="0019199E" w:rsidP="00702B8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A078516" wp14:editId="6BA1D96B">
                  <wp:extent cx="2166872" cy="2527094"/>
                  <wp:effectExtent l="0" t="0" r="5080" b="6985"/>
                  <wp:docPr id="975160719" name="Picture 1" descr="58 percent of applicants were male and 42% were fe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160719" name="Picture 1" descr="58 percent of applicants were male and 42% were female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872" cy="252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26997371" w14:textId="7C2825A9" w:rsidR="00702B87" w:rsidRDefault="0019199E" w:rsidP="00702B8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B39B53D" wp14:editId="5A936D91">
                  <wp:extent cx="2166872" cy="2527094"/>
                  <wp:effectExtent l="0" t="0" r="5080" b="6985"/>
                  <wp:docPr id="450464895" name="Picture 2" descr="35 percent of applicants identified as indigen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464895" name="Picture 2" descr="35 percent of applicants identified as indigenous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872" cy="252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B87" w14:paraId="63DB620E" w14:textId="77777777" w:rsidTr="0019199E">
        <w:trPr>
          <w:trHeight w:val="4365"/>
        </w:trPr>
        <w:tc>
          <w:tcPr>
            <w:tcW w:w="5228" w:type="dxa"/>
            <w:vAlign w:val="bottom"/>
          </w:tcPr>
          <w:p w14:paraId="42081E0F" w14:textId="4F2CD5F0" w:rsidR="00702B87" w:rsidRDefault="0019199E" w:rsidP="0019199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6183986" wp14:editId="45FBFD4A">
                  <wp:extent cx="2166872" cy="2527094"/>
                  <wp:effectExtent l="0" t="0" r="5080" b="6985"/>
                  <wp:docPr id="1914742241" name="Picture 3" descr="36 percent of applicants indicated they had a disabi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42241" name="Picture 3" descr="36 percent of applicants indicated they had a disability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872" cy="252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bottom"/>
          </w:tcPr>
          <w:p w14:paraId="4C75F240" w14:textId="59433978" w:rsidR="00702B87" w:rsidRDefault="0019199E" w:rsidP="0019199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0300A6D6" wp14:editId="164E084A">
                  <wp:extent cx="2166872" cy="2527094"/>
                  <wp:effectExtent l="0" t="0" r="5080" b="6985"/>
                  <wp:docPr id="1166286634" name="Picture 4" descr="52 percent of applications were submitted online, and 48 percent were submitted as a paper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86634" name="Picture 4" descr="52 percent of applications were submitted online, and 48 percent were submitted as a paper form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872" cy="2527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12A92" w14:textId="77777777" w:rsidR="00F24F6E" w:rsidRDefault="00F24F6E" w:rsidP="00055E90">
      <w:pPr>
        <w:spacing w:after="0"/>
        <w:rPr>
          <w:sz w:val="24"/>
        </w:rPr>
      </w:pPr>
    </w:p>
    <w:p w14:paraId="6C4D94EC" w14:textId="6C263A88" w:rsidR="00F32972" w:rsidRPr="00F32972" w:rsidRDefault="00F32972" w:rsidP="00F32972">
      <w:pPr>
        <w:jc w:val="center"/>
        <w:rPr>
          <w:sz w:val="24"/>
        </w:rPr>
      </w:pPr>
    </w:p>
    <w:p w14:paraId="60F1D54A" w14:textId="77777777" w:rsidR="00CF2AFF" w:rsidRDefault="00CF2AFF" w:rsidP="00055E90">
      <w:pPr>
        <w:tabs>
          <w:tab w:val="left" w:pos="3769"/>
        </w:tabs>
        <w:spacing w:after="0"/>
        <w:rPr>
          <w:sz w:val="24"/>
        </w:rPr>
      </w:pPr>
    </w:p>
    <w:p w14:paraId="546C1DFC" w14:textId="77777777" w:rsidR="00CF2AFF" w:rsidRDefault="00CF2AFF" w:rsidP="00CF2AFF">
      <w:pPr>
        <w:tabs>
          <w:tab w:val="left" w:pos="3769"/>
        </w:tabs>
        <w:spacing w:after="0"/>
        <w:rPr>
          <w:sz w:val="24"/>
        </w:rPr>
      </w:pPr>
    </w:p>
    <w:p w14:paraId="52C73DFD" w14:textId="77777777" w:rsidR="00CF2AFF" w:rsidRDefault="00CF2AFF" w:rsidP="00CF2AFF">
      <w:pPr>
        <w:tabs>
          <w:tab w:val="left" w:pos="3769"/>
        </w:tabs>
        <w:spacing w:after="0"/>
        <w:rPr>
          <w:sz w:val="24"/>
        </w:rPr>
      </w:pPr>
    </w:p>
    <w:p w14:paraId="1459AF59" w14:textId="77777777" w:rsidR="00CF2AFF" w:rsidRDefault="00CF2AFF" w:rsidP="00055E90">
      <w:pPr>
        <w:tabs>
          <w:tab w:val="left" w:pos="3769"/>
        </w:tabs>
        <w:spacing w:after="0"/>
        <w:rPr>
          <w:sz w:val="24"/>
        </w:rPr>
      </w:pPr>
    </w:p>
    <w:p w14:paraId="11FF0999" w14:textId="77777777" w:rsidR="00CF2AFF" w:rsidRDefault="00CF2AFF" w:rsidP="00055E90">
      <w:pPr>
        <w:tabs>
          <w:tab w:val="left" w:pos="3769"/>
        </w:tabs>
        <w:spacing w:after="0"/>
        <w:rPr>
          <w:sz w:val="24"/>
        </w:rPr>
      </w:pPr>
    </w:p>
    <w:p w14:paraId="7D5D9608" w14:textId="3F0FC813" w:rsidR="00564386" w:rsidRDefault="00564386" w:rsidP="00055E90">
      <w:pPr>
        <w:tabs>
          <w:tab w:val="left" w:pos="3769"/>
        </w:tabs>
        <w:spacing w:after="0"/>
        <w:rPr>
          <w:sz w:val="24"/>
        </w:rPr>
      </w:pPr>
    </w:p>
    <w:p w14:paraId="5B7B5C3D" w14:textId="1FFF77D1" w:rsidR="00564386" w:rsidRDefault="00564386" w:rsidP="00055E90">
      <w:pPr>
        <w:tabs>
          <w:tab w:val="left" w:pos="3769"/>
        </w:tabs>
        <w:spacing w:after="0"/>
        <w:rPr>
          <w:sz w:val="24"/>
        </w:rPr>
      </w:pPr>
    </w:p>
    <w:p w14:paraId="4AC4790A" w14:textId="77777777" w:rsidR="00FC230F" w:rsidRDefault="00FC230F" w:rsidP="00055E90">
      <w:pPr>
        <w:tabs>
          <w:tab w:val="left" w:pos="3769"/>
        </w:tabs>
        <w:spacing w:after="0"/>
        <w:rPr>
          <w:sz w:val="24"/>
        </w:rPr>
      </w:pPr>
    </w:p>
    <w:p w14:paraId="12C370E0" w14:textId="77777777" w:rsidR="00B5385F" w:rsidRDefault="00B5385F" w:rsidP="00055E90">
      <w:pPr>
        <w:tabs>
          <w:tab w:val="left" w:pos="3769"/>
        </w:tabs>
        <w:spacing w:after="0"/>
        <w:rPr>
          <w:sz w:val="24"/>
        </w:rPr>
      </w:pPr>
    </w:p>
    <w:tbl>
      <w:tblPr>
        <w:tblStyle w:val="TableGrid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1633"/>
        <w:gridCol w:w="2331"/>
      </w:tblGrid>
      <w:tr w:rsidR="00702B87" w14:paraId="5D4E5088" w14:textId="77777777" w:rsidTr="00702B87">
        <w:trPr>
          <w:trHeight w:val="261"/>
        </w:trPr>
        <w:tc>
          <w:tcPr>
            <w:tcW w:w="1633" w:type="dxa"/>
          </w:tcPr>
          <w:p w14:paraId="26337BD4" w14:textId="7E7A4441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N</w:t>
            </w:r>
            <w:r w:rsidRPr="000B5D5A">
              <w:rPr>
                <w:sz w:val="24"/>
              </w:rPr>
              <w:t>ational</w:t>
            </w:r>
          </w:p>
        </w:tc>
        <w:tc>
          <w:tcPr>
            <w:tcW w:w="2331" w:type="dxa"/>
          </w:tcPr>
          <w:p w14:paraId="20224218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35,026*</w:t>
            </w:r>
          </w:p>
        </w:tc>
      </w:tr>
      <w:tr w:rsidR="00702B87" w14:paraId="49E4E68F" w14:textId="77777777" w:rsidTr="00702B87">
        <w:trPr>
          <w:trHeight w:val="261"/>
        </w:trPr>
        <w:tc>
          <w:tcPr>
            <w:tcW w:w="1633" w:type="dxa"/>
          </w:tcPr>
          <w:p w14:paraId="20746BFE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0B5D5A">
              <w:rPr>
                <w:sz w:val="24"/>
              </w:rPr>
              <w:t>ACT</w:t>
            </w:r>
          </w:p>
        </w:tc>
        <w:tc>
          <w:tcPr>
            <w:tcW w:w="2331" w:type="dxa"/>
          </w:tcPr>
          <w:p w14:paraId="2D5FA90B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410</w:t>
            </w:r>
          </w:p>
        </w:tc>
      </w:tr>
      <w:tr w:rsidR="00702B87" w14:paraId="0AAA1872" w14:textId="77777777" w:rsidTr="00702B87">
        <w:trPr>
          <w:trHeight w:val="261"/>
        </w:trPr>
        <w:tc>
          <w:tcPr>
            <w:tcW w:w="1633" w:type="dxa"/>
          </w:tcPr>
          <w:p w14:paraId="6D6DD470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0B5D5A">
              <w:rPr>
                <w:sz w:val="24"/>
              </w:rPr>
              <w:t>NSW</w:t>
            </w:r>
          </w:p>
        </w:tc>
        <w:tc>
          <w:tcPr>
            <w:tcW w:w="2331" w:type="dxa"/>
          </w:tcPr>
          <w:p w14:paraId="297BBA62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7,123</w:t>
            </w:r>
          </w:p>
        </w:tc>
      </w:tr>
      <w:tr w:rsidR="00702B87" w14:paraId="572684B2" w14:textId="77777777" w:rsidTr="00702B87">
        <w:trPr>
          <w:trHeight w:val="261"/>
        </w:trPr>
        <w:tc>
          <w:tcPr>
            <w:tcW w:w="1633" w:type="dxa"/>
          </w:tcPr>
          <w:p w14:paraId="3A7894E5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0B5D5A">
              <w:rPr>
                <w:sz w:val="24"/>
              </w:rPr>
              <w:t>NT</w:t>
            </w:r>
          </w:p>
        </w:tc>
        <w:tc>
          <w:tcPr>
            <w:tcW w:w="2331" w:type="dxa"/>
          </w:tcPr>
          <w:p w14:paraId="3EF4F9F8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344</w:t>
            </w:r>
          </w:p>
        </w:tc>
      </w:tr>
      <w:tr w:rsidR="00702B87" w14:paraId="7F328040" w14:textId="77777777" w:rsidTr="00702B87">
        <w:trPr>
          <w:trHeight w:val="246"/>
        </w:trPr>
        <w:tc>
          <w:tcPr>
            <w:tcW w:w="1633" w:type="dxa"/>
          </w:tcPr>
          <w:p w14:paraId="7BBD8630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0B5D5A">
              <w:rPr>
                <w:sz w:val="24"/>
              </w:rPr>
              <w:t>QLD</w:t>
            </w:r>
          </w:p>
        </w:tc>
        <w:tc>
          <w:tcPr>
            <w:tcW w:w="2331" w:type="dxa"/>
          </w:tcPr>
          <w:p w14:paraId="30D1E45D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11,403</w:t>
            </w:r>
          </w:p>
        </w:tc>
      </w:tr>
      <w:tr w:rsidR="00702B87" w14:paraId="3B5A3FFC" w14:textId="77777777" w:rsidTr="00702B87">
        <w:trPr>
          <w:trHeight w:val="261"/>
        </w:trPr>
        <w:tc>
          <w:tcPr>
            <w:tcW w:w="1633" w:type="dxa"/>
          </w:tcPr>
          <w:p w14:paraId="4F6F077E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0B5D5A">
              <w:rPr>
                <w:sz w:val="24"/>
              </w:rPr>
              <w:t>SA</w:t>
            </w:r>
          </w:p>
        </w:tc>
        <w:tc>
          <w:tcPr>
            <w:tcW w:w="2331" w:type="dxa"/>
          </w:tcPr>
          <w:p w14:paraId="717F4A82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4,643</w:t>
            </w:r>
          </w:p>
        </w:tc>
      </w:tr>
      <w:tr w:rsidR="00702B87" w14:paraId="0DFEB2D9" w14:textId="77777777" w:rsidTr="00702B87">
        <w:trPr>
          <w:trHeight w:val="261"/>
        </w:trPr>
        <w:tc>
          <w:tcPr>
            <w:tcW w:w="1633" w:type="dxa"/>
          </w:tcPr>
          <w:p w14:paraId="1055699C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0B5D5A">
              <w:rPr>
                <w:sz w:val="24"/>
              </w:rPr>
              <w:t>TAS</w:t>
            </w:r>
          </w:p>
        </w:tc>
        <w:tc>
          <w:tcPr>
            <w:tcW w:w="2331" w:type="dxa"/>
          </w:tcPr>
          <w:p w14:paraId="37C14EF4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1,813</w:t>
            </w:r>
          </w:p>
        </w:tc>
      </w:tr>
      <w:tr w:rsidR="00702B87" w14:paraId="33A7112D" w14:textId="77777777" w:rsidTr="00702B87">
        <w:trPr>
          <w:trHeight w:val="261"/>
        </w:trPr>
        <w:tc>
          <w:tcPr>
            <w:tcW w:w="1633" w:type="dxa"/>
          </w:tcPr>
          <w:p w14:paraId="7F1FD7E4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0B5D5A">
              <w:rPr>
                <w:sz w:val="24"/>
              </w:rPr>
              <w:t>VIC</w:t>
            </w:r>
          </w:p>
        </w:tc>
        <w:tc>
          <w:tcPr>
            <w:tcW w:w="2331" w:type="dxa"/>
          </w:tcPr>
          <w:p w14:paraId="03AA345A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3,866</w:t>
            </w:r>
          </w:p>
        </w:tc>
      </w:tr>
      <w:tr w:rsidR="00702B87" w14:paraId="0C8A785A" w14:textId="77777777" w:rsidTr="00702B87">
        <w:trPr>
          <w:trHeight w:val="261"/>
        </w:trPr>
        <w:tc>
          <w:tcPr>
            <w:tcW w:w="1633" w:type="dxa"/>
          </w:tcPr>
          <w:p w14:paraId="2B4AB2D5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0B5D5A">
              <w:rPr>
                <w:sz w:val="24"/>
              </w:rPr>
              <w:t>WA</w:t>
            </w:r>
          </w:p>
        </w:tc>
        <w:tc>
          <w:tcPr>
            <w:tcW w:w="2331" w:type="dxa"/>
          </w:tcPr>
          <w:p w14:paraId="6BBB53CB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5,255</w:t>
            </w:r>
          </w:p>
        </w:tc>
      </w:tr>
      <w:tr w:rsidR="00702B87" w14:paraId="4725BA5D" w14:textId="77777777" w:rsidTr="00702B87">
        <w:trPr>
          <w:trHeight w:val="261"/>
        </w:trPr>
        <w:tc>
          <w:tcPr>
            <w:tcW w:w="1633" w:type="dxa"/>
          </w:tcPr>
          <w:p w14:paraId="3737D3DC" w14:textId="77777777" w:rsidR="00702B87" w:rsidRPr="000B5D5A" w:rsidRDefault="00702B87" w:rsidP="00702B8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Overseas</w:t>
            </w:r>
          </w:p>
        </w:tc>
        <w:tc>
          <w:tcPr>
            <w:tcW w:w="2331" w:type="dxa"/>
          </w:tcPr>
          <w:p w14:paraId="73C77D7B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138</w:t>
            </w:r>
          </w:p>
        </w:tc>
      </w:tr>
      <w:tr w:rsidR="00702B87" w14:paraId="397FC509" w14:textId="77777777" w:rsidTr="00702B87">
        <w:trPr>
          <w:trHeight w:val="261"/>
        </w:trPr>
        <w:tc>
          <w:tcPr>
            <w:tcW w:w="1633" w:type="dxa"/>
          </w:tcPr>
          <w:p w14:paraId="0D6B642B" w14:textId="77777777" w:rsidR="00702B87" w:rsidRDefault="00702B87" w:rsidP="00702B8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Unspecified</w:t>
            </w:r>
          </w:p>
        </w:tc>
        <w:tc>
          <w:tcPr>
            <w:tcW w:w="2331" w:type="dxa"/>
          </w:tcPr>
          <w:p w14:paraId="6BEE8C0D" w14:textId="77777777" w:rsidR="00702B87" w:rsidRPr="00362CC3" w:rsidRDefault="00702B87" w:rsidP="00702B87">
            <w:pPr>
              <w:pStyle w:val="ListParagraph"/>
              <w:ind w:left="0"/>
              <w:rPr>
                <w:sz w:val="24"/>
              </w:rPr>
            </w:pPr>
            <w:r w:rsidRPr="00362CC3">
              <w:rPr>
                <w:sz w:val="24"/>
              </w:rPr>
              <w:t>31</w:t>
            </w:r>
          </w:p>
        </w:tc>
      </w:tr>
    </w:tbl>
    <w:p w14:paraId="716496D1" w14:textId="6E07B374" w:rsidR="00E829F5" w:rsidRDefault="00E829F5" w:rsidP="00055E90">
      <w:pPr>
        <w:tabs>
          <w:tab w:val="left" w:pos="3769"/>
        </w:tabs>
        <w:spacing w:after="0"/>
        <w:rPr>
          <w:b/>
          <w:bCs/>
          <w:noProof/>
          <w:lang w:eastAsia="en-AU"/>
        </w:rPr>
      </w:pPr>
      <w:r w:rsidRPr="00460E23">
        <w:rPr>
          <w:b/>
          <w:bCs/>
          <w:noProof/>
          <w:lang w:eastAsia="en-AU"/>
        </w:rPr>
        <w:t>Applicant’s Residential location</w:t>
      </w:r>
    </w:p>
    <w:p w14:paraId="1660F80C" w14:textId="77777777" w:rsidR="00FC230F" w:rsidRDefault="00FC230F" w:rsidP="00055E90">
      <w:pPr>
        <w:tabs>
          <w:tab w:val="left" w:pos="3769"/>
        </w:tabs>
        <w:spacing w:after="0"/>
        <w:rPr>
          <w:sz w:val="24"/>
        </w:rPr>
      </w:pPr>
    </w:p>
    <w:p w14:paraId="2BBB65A6" w14:textId="77777777" w:rsidR="00E829F5" w:rsidRDefault="00E829F5" w:rsidP="00E829F5">
      <w:pPr>
        <w:tabs>
          <w:tab w:val="left" w:pos="3769"/>
        </w:tabs>
        <w:spacing w:after="0"/>
        <w:rPr>
          <w:sz w:val="24"/>
        </w:rPr>
      </w:pPr>
      <w:r>
        <w:rPr>
          <w:sz w:val="24"/>
        </w:rPr>
        <w:t>*</w:t>
      </w:r>
      <w:r w:rsidRPr="00107532">
        <w:rPr>
          <w:sz w:val="24"/>
        </w:rPr>
        <w:t>The National figure include</w:t>
      </w:r>
      <w:r>
        <w:rPr>
          <w:sz w:val="24"/>
        </w:rPr>
        <w:t>d</w:t>
      </w:r>
      <w:r w:rsidRPr="00107532">
        <w:rPr>
          <w:sz w:val="24"/>
        </w:rPr>
        <w:t xml:space="preserve"> overseas and unspecified numbers in addition to the jurisdiction numbers.</w:t>
      </w:r>
    </w:p>
    <w:p w14:paraId="3F0D21FB" w14:textId="77777777" w:rsidR="00E829F5" w:rsidRDefault="00E829F5" w:rsidP="00055E90">
      <w:pPr>
        <w:tabs>
          <w:tab w:val="left" w:pos="3769"/>
        </w:tabs>
        <w:spacing w:after="0"/>
        <w:rPr>
          <w:sz w:val="24"/>
        </w:rPr>
      </w:pPr>
    </w:p>
    <w:p w14:paraId="4A010FA3" w14:textId="77777777" w:rsidR="00E829F5" w:rsidRDefault="00E829F5" w:rsidP="00055E90">
      <w:pPr>
        <w:tabs>
          <w:tab w:val="left" w:pos="3769"/>
        </w:tabs>
        <w:spacing w:after="0"/>
        <w:rPr>
          <w:sz w:val="24"/>
        </w:rPr>
      </w:pPr>
    </w:p>
    <w:p w14:paraId="167E2091" w14:textId="77777777" w:rsidR="00E829F5" w:rsidRDefault="00E829F5" w:rsidP="00055E90">
      <w:pPr>
        <w:tabs>
          <w:tab w:val="left" w:pos="3769"/>
        </w:tabs>
        <w:spacing w:after="0"/>
        <w:rPr>
          <w:sz w:val="24"/>
        </w:rPr>
      </w:pPr>
    </w:p>
    <w:p w14:paraId="31C1E1AD" w14:textId="77777777" w:rsidR="00E829F5" w:rsidRDefault="00E829F5" w:rsidP="00055E90">
      <w:pPr>
        <w:tabs>
          <w:tab w:val="left" w:pos="3769"/>
        </w:tabs>
        <w:spacing w:after="0"/>
        <w:rPr>
          <w:sz w:val="24"/>
        </w:rPr>
      </w:pPr>
    </w:p>
    <w:p w14:paraId="4AECA025" w14:textId="77777777" w:rsidR="00E829F5" w:rsidRDefault="00E829F5" w:rsidP="00055E90">
      <w:pPr>
        <w:tabs>
          <w:tab w:val="left" w:pos="3769"/>
        </w:tabs>
        <w:spacing w:after="0"/>
        <w:rPr>
          <w:sz w:val="24"/>
        </w:rPr>
      </w:pPr>
    </w:p>
    <w:p w14:paraId="56A8FB3E" w14:textId="77777777" w:rsidR="00E829F5" w:rsidRDefault="00E829F5" w:rsidP="00055E90">
      <w:pPr>
        <w:tabs>
          <w:tab w:val="left" w:pos="3769"/>
        </w:tabs>
        <w:spacing w:after="0"/>
        <w:rPr>
          <w:sz w:val="24"/>
        </w:rPr>
      </w:pPr>
    </w:p>
    <w:p w14:paraId="19019E49" w14:textId="77777777" w:rsidR="00702B87" w:rsidRDefault="00702B87" w:rsidP="00055E90">
      <w:pPr>
        <w:tabs>
          <w:tab w:val="left" w:pos="3769"/>
        </w:tabs>
        <w:spacing w:after="0"/>
        <w:rPr>
          <w:sz w:val="24"/>
        </w:rPr>
      </w:pPr>
    </w:p>
    <w:p w14:paraId="2ABE0F1F" w14:textId="77777777" w:rsidR="00702B87" w:rsidRDefault="00702B87" w:rsidP="00055E90">
      <w:pPr>
        <w:tabs>
          <w:tab w:val="left" w:pos="3769"/>
        </w:tabs>
        <w:spacing w:after="0"/>
        <w:rPr>
          <w:sz w:val="24"/>
        </w:rPr>
      </w:pPr>
    </w:p>
    <w:p w14:paraId="17A742BF" w14:textId="77777777" w:rsidR="00702B87" w:rsidRDefault="00702B87" w:rsidP="00055E90">
      <w:pPr>
        <w:tabs>
          <w:tab w:val="left" w:pos="3769"/>
        </w:tabs>
        <w:spacing w:after="0"/>
        <w:rPr>
          <w:sz w:val="24"/>
        </w:rPr>
      </w:pPr>
    </w:p>
    <w:p w14:paraId="74480238" w14:textId="77777777" w:rsidR="00CF25DC" w:rsidRPr="006B52D3" w:rsidRDefault="00CF25DC" w:rsidP="00CF25DC">
      <w:pPr>
        <w:spacing w:after="0"/>
        <w:rPr>
          <w:sz w:val="24"/>
          <w:szCs w:val="28"/>
        </w:rPr>
      </w:pPr>
      <w:r w:rsidRPr="006B52D3">
        <w:rPr>
          <w:sz w:val="24"/>
          <w:szCs w:val="28"/>
        </w:rPr>
        <w:t xml:space="preserve">Scheme Accessibility: Over </w:t>
      </w:r>
      <w:r>
        <w:rPr>
          <w:sz w:val="24"/>
          <w:szCs w:val="28"/>
        </w:rPr>
        <w:t xml:space="preserve">the life of the Scheme as </w:t>
      </w:r>
      <w:proofErr w:type="gramStart"/>
      <w:r>
        <w:rPr>
          <w:sz w:val="24"/>
          <w:szCs w:val="28"/>
        </w:rPr>
        <w:t>at</w:t>
      </w:r>
      <w:proofErr w:type="gramEnd"/>
      <w:r>
        <w:rPr>
          <w:sz w:val="24"/>
          <w:szCs w:val="28"/>
        </w:rPr>
        <w:t xml:space="preserve"> 29</w:t>
      </w:r>
      <w:r w:rsidRPr="006B52D3">
        <w:rPr>
          <w:sz w:val="24"/>
          <w:szCs w:val="28"/>
        </w:rPr>
        <w:t xml:space="preserve"> </w:t>
      </w:r>
      <w:r>
        <w:rPr>
          <w:sz w:val="24"/>
          <w:szCs w:val="28"/>
        </w:rPr>
        <w:t>December 2023</w:t>
      </w:r>
    </w:p>
    <w:p w14:paraId="79B07498" w14:textId="77777777" w:rsidR="00E829F5" w:rsidRDefault="00E829F5" w:rsidP="00055E90">
      <w:pPr>
        <w:spacing w:after="0"/>
        <w:rPr>
          <w:b/>
          <w:sz w:val="20"/>
          <w:szCs w:val="20"/>
        </w:rPr>
      </w:pPr>
    </w:p>
    <w:p w14:paraId="6C3B2E63" w14:textId="77777777" w:rsidR="00E829F5" w:rsidRPr="00BC2426" w:rsidRDefault="00E829F5" w:rsidP="00055E90">
      <w:pPr>
        <w:spacing w:after="0"/>
        <w:rPr>
          <w:b/>
          <w:sz w:val="20"/>
          <w:szCs w:val="20"/>
        </w:rPr>
      </w:pPr>
    </w:p>
    <w:p w14:paraId="3BF5D33A" w14:textId="0EEE0E3C" w:rsidR="002555BB" w:rsidRDefault="00715949" w:rsidP="00055E90">
      <w:pPr>
        <w:spacing w:after="0"/>
        <w:rPr>
          <w:b/>
          <w:sz w:val="20"/>
          <w:szCs w:val="20"/>
        </w:rPr>
      </w:pPr>
      <w:r w:rsidRPr="006B52D3">
        <w:rPr>
          <w:noProof/>
          <w:sz w:val="24"/>
          <w:szCs w:val="28"/>
          <w:lang w:eastAsia="en-AU"/>
        </w:rPr>
        <w:drawing>
          <wp:anchor distT="0" distB="0" distL="114300" distR="114300" simplePos="0" relativeHeight="251689984" behindDoc="1" locked="0" layoutInCell="1" allowOverlap="1" wp14:anchorId="7095F8F6" wp14:editId="0B68D7D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65860" cy="1165860"/>
            <wp:effectExtent l="0" t="0" r="0" b="0"/>
            <wp:wrapTight wrapText="bothSides">
              <wp:wrapPolygon edited="0">
                <wp:start x="8824" y="0"/>
                <wp:lineTo x="6353" y="353"/>
                <wp:lineTo x="2118" y="3882"/>
                <wp:lineTo x="2118" y="5647"/>
                <wp:lineTo x="0" y="10941"/>
                <wp:lineTo x="0" y="15176"/>
                <wp:lineTo x="8471" y="16941"/>
                <wp:lineTo x="9176" y="21176"/>
                <wp:lineTo x="9882" y="21176"/>
                <wp:lineTo x="11647" y="21176"/>
                <wp:lineTo x="12353" y="21176"/>
                <wp:lineTo x="16941" y="17294"/>
                <wp:lineTo x="16941" y="16941"/>
                <wp:lineTo x="21176" y="14471"/>
                <wp:lineTo x="21176" y="10941"/>
                <wp:lineTo x="19412" y="4235"/>
                <wp:lineTo x="14824" y="353"/>
                <wp:lineTo x="12353" y="0"/>
                <wp:lineTo x="8824" y="0"/>
              </wp:wrapPolygon>
            </wp:wrapTight>
            <wp:docPr id="238" name="Picture 2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FC389" w14:textId="77777777" w:rsidR="002F7E76" w:rsidRPr="003303DF" w:rsidRDefault="002F7E76" w:rsidP="003303DF">
      <w:pPr>
        <w:pStyle w:val="ListParagraph"/>
        <w:numPr>
          <w:ilvl w:val="0"/>
          <w:numId w:val="21"/>
        </w:numPr>
        <w:tabs>
          <w:tab w:val="left" w:pos="3769"/>
        </w:tabs>
        <w:rPr>
          <w:sz w:val="24"/>
          <w:szCs w:val="28"/>
        </w:rPr>
      </w:pPr>
      <w:r w:rsidRPr="003303DF">
        <w:rPr>
          <w:b/>
          <w:sz w:val="24"/>
          <w:szCs w:val="28"/>
        </w:rPr>
        <w:t>17%</w:t>
      </w:r>
      <w:r w:rsidRPr="003303DF">
        <w:rPr>
          <w:sz w:val="24"/>
          <w:szCs w:val="28"/>
        </w:rPr>
        <w:t xml:space="preserve"> of applications received were from elderly applicants </w:t>
      </w:r>
      <w:r w:rsidRPr="003303DF">
        <w:rPr>
          <w:sz w:val="24"/>
          <w:szCs w:val="28"/>
          <w:vertAlign w:val="superscript"/>
        </w:rPr>
        <w:t>[1]</w:t>
      </w:r>
    </w:p>
    <w:p w14:paraId="4BCD3B9B" w14:textId="77777777" w:rsidR="002F7E76" w:rsidRPr="003303DF" w:rsidRDefault="002F7E76" w:rsidP="003303DF">
      <w:pPr>
        <w:pStyle w:val="ListParagraph"/>
        <w:numPr>
          <w:ilvl w:val="0"/>
          <w:numId w:val="21"/>
        </w:numPr>
        <w:tabs>
          <w:tab w:val="left" w:pos="3769"/>
        </w:tabs>
        <w:rPr>
          <w:sz w:val="24"/>
          <w:szCs w:val="28"/>
        </w:rPr>
      </w:pPr>
      <w:r w:rsidRPr="003303DF">
        <w:rPr>
          <w:b/>
          <w:sz w:val="24"/>
          <w:szCs w:val="28"/>
        </w:rPr>
        <w:t>35%</w:t>
      </w:r>
      <w:r w:rsidRPr="003303DF">
        <w:rPr>
          <w:sz w:val="24"/>
          <w:szCs w:val="28"/>
        </w:rPr>
        <w:t xml:space="preserve"> of applicants identified as First Nations</w:t>
      </w:r>
    </w:p>
    <w:p w14:paraId="1B74852C" w14:textId="77777777" w:rsidR="002F7E76" w:rsidRPr="003303DF" w:rsidRDefault="002F7E76" w:rsidP="003303DF">
      <w:pPr>
        <w:pStyle w:val="ListParagraph"/>
        <w:numPr>
          <w:ilvl w:val="0"/>
          <w:numId w:val="21"/>
        </w:numPr>
        <w:tabs>
          <w:tab w:val="left" w:pos="3769"/>
        </w:tabs>
        <w:rPr>
          <w:sz w:val="24"/>
          <w:szCs w:val="28"/>
        </w:rPr>
      </w:pPr>
      <w:r w:rsidRPr="003303DF">
        <w:rPr>
          <w:b/>
          <w:sz w:val="24"/>
          <w:szCs w:val="28"/>
        </w:rPr>
        <w:t>36%</w:t>
      </w:r>
      <w:r w:rsidRPr="003303DF">
        <w:rPr>
          <w:sz w:val="24"/>
          <w:szCs w:val="28"/>
        </w:rPr>
        <w:t xml:space="preserve"> applicants self-identified as living with a disability </w:t>
      </w:r>
      <w:r w:rsidRPr="003303DF">
        <w:rPr>
          <w:sz w:val="24"/>
          <w:szCs w:val="28"/>
          <w:vertAlign w:val="superscript"/>
        </w:rPr>
        <w:t>[2]</w:t>
      </w:r>
    </w:p>
    <w:p w14:paraId="58A2C6F7" w14:textId="6025B6FC" w:rsidR="002F7E76" w:rsidRPr="003303DF" w:rsidRDefault="002F7E76" w:rsidP="003303DF">
      <w:pPr>
        <w:pStyle w:val="ListParagraph"/>
        <w:numPr>
          <w:ilvl w:val="0"/>
          <w:numId w:val="21"/>
        </w:numPr>
        <w:spacing w:after="0"/>
        <w:rPr>
          <w:b/>
          <w:sz w:val="20"/>
          <w:szCs w:val="20"/>
        </w:rPr>
      </w:pPr>
      <w:r w:rsidRPr="003303DF">
        <w:rPr>
          <w:b/>
          <w:sz w:val="24"/>
          <w:szCs w:val="28"/>
        </w:rPr>
        <w:t>42%</w:t>
      </w:r>
      <w:r w:rsidRPr="003303DF">
        <w:rPr>
          <w:sz w:val="24"/>
          <w:szCs w:val="28"/>
        </w:rPr>
        <w:t xml:space="preserve"> of applicants resided in a regional or remote area </w:t>
      </w:r>
      <w:r w:rsidRPr="003303DF">
        <w:rPr>
          <w:sz w:val="24"/>
          <w:szCs w:val="28"/>
          <w:vertAlign w:val="superscript"/>
        </w:rPr>
        <w:t>[3]</w:t>
      </w:r>
    </w:p>
    <w:p w14:paraId="63A173D6" w14:textId="77777777" w:rsidR="002F7E76" w:rsidRDefault="002F7E76" w:rsidP="00055E90">
      <w:pPr>
        <w:spacing w:after="0"/>
        <w:rPr>
          <w:b/>
          <w:sz w:val="20"/>
          <w:szCs w:val="20"/>
        </w:rPr>
      </w:pPr>
    </w:p>
    <w:p w14:paraId="5F038429" w14:textId="77777777" w:rsidR="002F7E76" w:rsidRDefault="002F7E76" w:rsidP="00055E90">
      <w:pPr>
        <w:spacing w:after="0"/>
        <w:rPr>
          <w:b/>
          <w:sz w:val="20"/>
          <w:szCs w:val="20"/>
        </w:rPr>
      </w:pPr>
    </w:p>
    <w:p w14:paraId="72D152C2" w14:textId="77777777" w:rsidR="002F7E76" w:rsidRDefault="002F7E76" w:rsidP="00055E90">
      <w:pPr>
        <w:spacing w:after="0"/>
        <w:rPr>
          <w:b/>
          <w:sz w:val="20"/>
          <w:szCs w:val="20"/>
        </w:rPr>
      </w:pPr>
    </w:p>
    <w:p w14:paraId="7D476301" w14:textId="77777777" w:rsidR="002F7E76" w:rsidRDefault="002F7E76" w:rsidP="00055E90">
      <w:pPr>
        <w:spacing w:after="0"/>
        <w:rPr>
          <w:b/>
          <w:sz w:val="20"/>
          <w:szCs w:val="20"/>
        </w:rPr>
      </w:pPr>
    </w:p>
    <w:p w14:paraId="5143AEE7" w14:textId="77777777" w:rsidR="002F7E76" w:rsidRDefault="002F7E76" w:rsidP="00055E90">
      <w:pPr>
        <w:spacing w:after="0"/>
        <w:rPr>
          <w:b/>
          <w:sz w:val="20"/>
          <w:szCs w:val="20"/>
        </w:rPr>
      </w:pPr>
    </w:p>
    <w:p w14:paraId="03AE4B33" w14:textId="77777777" w:rsidR="00FC230F" w:rsidRDefault="00FC230F" w:rsidP="00055E90">
      <w:pPr>
        <w:spacing w:after="0"/>
        <w:rPr>
          <w:b/>
          <w:sz w:val="20"/>
          <w:szCs w:val="20"/>
        </w:rPr>
      </w:pPr>
    </w:p>
    <w:p w14:paraId="18CFED62" w14:textId="77777777" w:rsidR="00FC230F" w:rsidRDefault="00FC230F" w:rsidP="00055E90">
      <w:pPr>
        <w:spacing w:after="0"/>
        <w:rPr>
          <w:b/>
          <w:sz w:val="20"/>
          <w:szCs w:val="20"/>
        </w:rPr>
      </w:pPr>
    </w:p>
    <w:p w14:paraId="558A15F4" w14:textId="77777777" w:rsidR="00FC230F" w:rsidRDefault="00FC230F" w:rsidP="00055E90">
      <w:pPr>
        <w:spacing w:after="0"/>
        <w:rPr>
          <w:b/>
          <w:sz w:val="20"/>
          <w:szCs w:val="20"/>
        </w:rPr>
      </w:pPr>
    </w:p>
    <w:p w14:paraId="63A37515" w14:textId="77777777" w:rsidR="00FC230F" w:rsidRDefault="00FC230F" w:rsidP="00055E90">
      <w:pPr>
        <w:spacing w:after="0"/>
        <w:rPr>
          <w:b/>
          <w:sz w:val="20"/>
          <w:szCs w:val="20"/>
        </w:rPr>
      </w:pPr>
    </w:p>
    <w:p w14:paraId="15982925" w14:textId="77777777" w:rsidR="003303DF" w:rsidRDefault="003303DF" w:rsidP="00055E90">
      <w:pPr>
        <w:spacing w:after="0"/>
        <w:rPr>
          <w:b/>
          <w:sz w:val="20"/>
          <w:szCs w:val="20"/>
        </w:rPr>
      </w:pPr>
    </w:p>
    <w:p w14:paraId="791D8918" w14:textId="77777777" w:rsidR="002F7E76" w:rsidRPr="003D3917" w:rsidRDefault="002F7E76" w:rsidP="002F7E76">
      <w:pPr>
        <w:tabs>
          <w:tab w:val="left" w:pos="3769"/>
        </w:tabs>
        <w:spacing w:after="0"/>
        <w:rPr>
          <w:sz w:val="24"/>
          <w:szCs w:val="28"/>
        </w:rPr>
      </w:pPr>
      <w:r w:rsidRPr="003D3917">
        <w:rPr>
          <w:sz w:val="24"/>
          <w:szCs w:val="28"/>
        </w:rPr>
        <w:t>Note</w:t>
      </w:r>
    </w:p>
    <w:p w14:paraId="7D214CAF" w14:textId="57306A35" w:rsidR="002F7E76" w:rsidRPr="003D3917" w:rsidRDefault="002F7E76" w:rsidP="002F7E76">
      <w:pPr>
        <w:tabs>
          <w:tab w:val="left" w:pos="3769"/>
        </w:tabs>
        <w:spacing w:after="0"/>
        <w:rPr>
          <w:sz w:val="24"/>
          <w:szCs w:val="28"/>
        </w:rPr>
      </w:pPr>
      <w:r w:rsidRPr="003D3917">
        <w:rPr>
          <w:sz w:val="24"/>
          <w:szCs w:val="28"/>
        </w:rPr>
        <w:t xml:space="preserve">[1] Elderly applicants </w:t>
      </w:r>
      <w:r w:rsidR="00887C6D">
        <w:rPr>
          <w:sz w:val="24"/>
          <w:szCs w:val="28"/>
        </w:rPr>
        <w:t>we</w:t>
      </w:r>
      <w:r w:rsidRPr="003D3917">
        <w:rPr>
          <w:sz w:val="24"/>
          <w:szCs w:val="28"/>
        </w:rPr>
        <w:t>re defined as over 70 at age of application, or over 55 for First Nations applicants.</w:t>
      </w:r>
    </w:p>
    <w:p w14:paraId="0187D63B" w14:textId="1299FBAF" w:rsidR="002F7E76" w:rsidRPr="003D3917" w:rsidRDefault="002F7E76" w:rsidP="002F7E76">
      <w:pPr>
        <w:tabs>
          <w:tab w:val="left" w:pos="3769"/>
        </w:tabs>
        <w:spacing w:after="0"/>
        <w:rPr>
          <w:sz w:val="24"/>
          <w:szCs w:val="28"/>
        </w:rPr>
      </w:pPr>
      <w:r w:rsidRPr="003D3917">
        <w:rPr>
          <w:sz w:val="24"/>
          <w:szCs w:val="28"/>
        </w:rPr>
        <w:t xml:space="preserve">[2] Disability </w:t>
      </w:r>
      <w:r w:rsidR="008C075D">
        <w:rPr>
          <w:sz w:val="24"/>
          <w:szCs w:val="28"/>
        </w:rPr>
        <w:t>wa</w:t>
      </w:r>
      <w:r w:rsidRPr="003D3917">
        <w:rPr>
          <w:sz w:val="24"/>
          <w:szCs w:val="28"/>
        </w:rPr>
        <w:t>s not a term defined by the Scheme. Applicants may self-identify as having a disability, which include</w:t>
      </w:r>
      <w:r w:rsidR="00F92649">
        <w:rPr>
          <w:sz w:val="24"/>
          <w:szCs w:val="28"/>
        </w:rPr>
        <w:t>d</w:t>
      </w:r>
      <w:r w:rsidRPr="003D3917">
        <w:rPr>
          <w:sz w:val="24"/>
          <w:szCs w:val="28"/>
        </w:rPr>
        <w:t xml:space="preserve"> illness and age-related conditions.</w:t>
      </w:r>
    </w:p>
    <w:p w14:paraId="53324443" w14:textId="45CBF392" w:rsidR="002F7E76" w:rsidRDefault="002F7E76" w:rsidP="002F7E76">
      <w:pPr>
        <w:tabs>
          <w:tab w:val="left" w:pos="3769"/>
        </w:tabs>
        <w:spacing w:after="0"/>
        <w:rPr>
          <w:sz w:val="24"/>
          <w:szCs w:val="28"/>
        </w:rPr>
      </w:pPr>
      <w:r w:rsidRPr="003D3917">
        <w:rPr>
          <w:sz w:val="24"/>
          <w:szCs w:val="28"/>
        </w:rPr>
        <w:t xml:space="preserve">[3] Remoteness </w:t>
      </w:r>
      <w:r w:rsidR="008C075D">
        <w:rPr>
          <w:sz w:val="24"/>
          <w:szCs w:val="28"/>
        </w:rPr>
        <w:t>wa</w:t>
      </w:r>
      <w:r w:rsidRPr="003D3917">
        <w:rPr>
          <w:sz w:val="24"/>
          <w:szCs w:val="28"/>
        </w:rPr>
        <w:t>s defined based on the 2016 Australian Bureau of Statistics Remoteness Areas Structure based on a measure of relative access to services.</w:t>
      </w:r>
    </w:p>
    <w:p w14:paraId="66F0D163" w14:textId="77777777" w:rsidR="00702B87" w:rsidRDefault="00702B87" w:rsidP="002F7E76">
      <w:pPr>
        <w:tabs>
          <w:tab w:val="left" w:pos="3769"/>
        </w:tabs>
        <w:spacing w:after="0"/>
        <w:rPr>
          <w:sz w:val="24"/>
          <w:szCs w:val="28"/>
        </w:rPr>
      </w:pPr>
    </w:p>
    <w:p w14:paraId="1F753B67" w14:textId="77777777" w:rsidR="00702B87" w:rsidRDefault="00702B87" w:rsidP="002F7E76">
      <w:pPr>
        <w:tabs>
          <w:tab w:val="left" w:pos="3769"/>
        </w:tabs>
        <w:spacing w:after="0"/>
        <w:rPr>
          <w:sz w:val="24"/>
          <w:szCs w:val="28"/>
        </w:rPr>
      </w:pPr>
    </w:p>
    <w:p w14:paraId="58E950A8" w14:textId="77777777" w:rsidR="00702B87" w:rsidRDefault="00702B87" w:rsidP="002F7E76">
      <w:pPr>
        <w:tabs>
          <w:tab w:val="left" w:pos="3769"/>
        </w:tabs>
        <w:spacing w:after="0"/>
        <w:rPr>
          <w:sz w:val="24"/>
          <w:szCs w:val="28"/>
        </w:rPr>
      </w:pPr>
    </w:p>
    <w:p w14:paraId="0F27FC33" w14:textId="77777777" w:rsidR="00CF25DC" w:rsidRDefault="00CF25DC" w:rsidP="002F7E76">
      <w:pPr>
        <w:tabs>
          <w:tab w:val="left" w:pos="3769"/>
        </w:tabs>
        <w:spacing w:after="0"/>
        <w:rPr>
          <w:sz w:val="24"/>
          <w:szCs w:val="28"/>
        </w:rPr>
      </w:pPr>
    </w:p>
    <w:p w14:paraId="3D72D336" w14:textId="77777777" w:rsidR="002F7E76" w:rsidRDefault="002F7E76" w:rsidP="00055E90">
      <w:pPr>
        <w:spacing w:after="0"/>
        <w:rPr>
          <w:b/>
          <w:sz w:val="20"/>
          <w:szCs w:val="20"/>
        </w:rPr>
      </w:pPr>
    </w:p>
    <w:p w14:paraId="3CD71A14" w14:textId="77777777" w:rsidR="00E829F5" w:rsidRDefault="00E829F5" w:rsidP="00055E90">
      <w:pPr>
        <w:spacing w:after="0"/>
        <w:rPr>
          <w:b/>
          <w:sz w:val="20"/>
          <w:szCs w:val="20"/>
        </w:rPr>
      </w:pPr>
    </w:p>
    <w:p w14:paraId="40F63550" w14:textId="77777777" w:rsidR="00E829F5" w:rsidRDefault="00E829F5" w:rsidP="00055E90">
      <w:pPr>
        <w:spacing w:after="0"/>
        <w:rPr>
          <w:b/>
          <w:sz w:val="20"/>
          <w:szCs w:val="20"/>
        </w:rPr>
      </w:pPr>
    </w:p>
    <w:p w14:paraId="7230A432" w14:textId="77777777" w:rsidR="00E829F5" w:rsidRDefault="00E829F5" w:rsidP="00055E90">
      <w:pPr>
        <w:spacing w:after="0"/>
        <w:rPr>
          <w:b/>
          <w:sz w:val="20"/>
          <w:szCs w:val="20"/>
        </w:rPr>
      </w:pPr>
    </w:p>
    <w:p w14:paraId="34D8D663" w14:textId="77777777" w:rsidR="00CF25DC" w:rsidRPr="000B5D5A" w:rsidRDefault="00CF25DC" w:rsidP="00CF25DC">
      <w:pPr>
        <w:pStyle w:val="Heading2"/>
        <w:spacing w:before="0"/>
        <w:rPr>
          <w:b w:val="0"/>
          <w:sz w:val="24"/>
        </w:rPr>
      </w:pPr>
      <w:bookmarkStart w:id="12" w:name="_Toc134524961"/>
      <w:r w:rsidRPr="00E92A49">
        <w:t>3b. Support service accessibility</w:t>
      </w:r>
      <w:bookmarkEnd w:id="12"/>
    </w:p>
    <w:p w14:paraId="3E1BEDCF" w14:textId="2D7912AD" w:rsidR="00B5385F" w:rsidRPr="00FC230F" w:rsidRDefault="00CF25DC" w:rsidP="00FC230F">
      <w:pPr>
        <w:spacing w:after="480" w:line="271" w:lineRule="exact"/>
        <w:rPr>
          <w:i/>
          <w:sz w:val="24"/>
          <w:szCs w:val="24"/>
        </w:rPr>
      </w:pPr>
      <w:r w:rsidRPr="009A3998">
        <w:rPr>
          <w:i/>
          <w:sz w:val="24"/>
          <w:szCs w:val="24"/>
        </w:rPr>
        <w:t>Accessibility of the Scheme’s support services to all survivor demographics, such as participation by First Nations / rural and remote / people with disability / elderly.</w:t>
      </w:r>
    </w:p>
    <w:p w14:paraId="3549BE5D" w14:textId="43C7A638" w:rsidR="00FC423B" w:rsidRDefault="000F241D" w:rsidP="00FC230F">
      <w:pPr>
        <w:spacing w:after="240" w:line="271" w:lineRule="exact"/>
        <w:rPr>
          <w:sz w:val="24"/>
          <w:szCs w:val="28"/>
        </w:rPr>
      </w:pPr>
      <w:r>
        <w:rPr>
          <w:sz w:val="24"/>
          <w:szCs w:val="28"/>
        </w:rPr>
        <w:t xml:space="preserve">Redress Support Services (RSS) </w:t>
      </w:r>
      <w:r w:rsidR="00887C6D">
        <w:rPr>
          <w:sz w:val="24"/>
          <w:szCs w:val="28"/>
        </w:rPr>
        <w:t>we</w:t>
      </w:r>
      <w:r>
        <w:rPr>
          <w:sz w:val="24"/>
          <w:szCs w:val="28"/>
        </w:rPr>
        <w:t xml:space="preserve">re specialist, trauma-informed, culturally safe, survivor centred </w:t>
      </w:r>
      <w:r w:rsidR="003E0CC3">
        <w:rPr>
          <w:sz w:val="24"/>
          <w:szCs w:val="28"/>
        </w:rPr>
        <w:t>services, which</w:t>
      </w:r>
      <w:r>
        <w:rPr>
          <w:sz w:val="24"/>
          <w:szCs w:val="28"/>
        </w:rPr>
        <w:t xml:space="preserve"> provide free, confidential, practical and emotional support before, during and after people make, or consider making, an application to the National Redress Scheme. Many Services conduct</w:t>
      </w:r>
      <w:r w:rsidR="00887C6D">
        <w:rPr>
          <w:sz w:val="24"/>
          <w:szCs w:val="28"/>
        </w:rPr>
        <w:t>ed</w:t>
      </w:r>
      <w:r>
        <w:rPr>
          <w:sz w:val="24"/>
          <w:szCs w:val="28"/>
        </w:rPr>
        <w:t xml:space="preserve"> outreach to support people to</w:t>
      </w:r>
      <w:r w:rsidR="00FB44A0">
        <w:rPr>
          <w:sz w:val="24"/>
          <w:szCs w:val="28"/>
        </w:rPr>
        <w:t xml:space="preserve"> apply from survivor demographics</w:t>
      </w:r>
      <w:r w:rsidR="00055E90">
        <w:rPr>
          <w:sz w:val="24"/>
          <w:szCs w:val="28"/>
        </w:rPr>
        <w:t>.</w:t>
      </w:r>
    </w:p>
    <w:p w14:paraId="158D54BE" w14:textId="23A83BDC" w:rsidR="00B5385F" w:rsidRDefault="002555BB" w:rsidP="00FC230F">
      <w:pPr>
        <w:spacing w:after="360" w:line="271" w:lineRule="exact"/>
        <w:rPr>
          <w:sz w:val="24"/>
          <w:szCs w:val="28"/>
        </w:rPr>
      </w:pPr>
      <w:proofErr w:type="gramStart"/>
      <w:r w:rsidRPr="00E96F9D">
        <w:rPr>
          <w:sz w:val="24"/>
          <w:szCs w:val="28"/>
        </w:rPr>
        <w:t>At</w:t>
      </w:r>
      <w:proofErr w:type="gramEnd"/>
      <w:r w:rsidRPr="00E96F9D">
        <w:rPr>
          <w:sz w:val="24"/>
          <w:szCs w:val="28"/>
        </w:rPr>
        <w:t xml:space="preserve"> </w:t>
      </w:r>
      <w:r w:rsidR="00CC5BB6">
        <w:rPr>
          <w:sz w:val="24"/>
          <w:szCs w:val="28"/>
        </w:rPr>
        <w:t>29</w:t>
      </w:r>
      <w:r w:rsidRPr="00E96F9D">
        <w:rPr>
          <w:sz w:val="24"/>
          <w:szCs w:val="28"/>
        </w:rPr>
        <w:t xml:space="preserve"> </w:t>
      </w:r>
      <w:r w:rsidR="00CC5BB6">
        <w:rPr>
          <w:sz w:val="24"/>
          <w:szCs w:val="28"/>
        </w:rPr>
        <w:t>December</w:t>
      </w:r>
      <w:r w:rsidRPr="00E96F9D">
        <w:rPr>
          <w:sz w:val="24"/>
          <w:szCs w:val="28"/>
        </w:rPr>
        <w:t xml:space="preserve"> 2023</w:t>
      </w:r>
      <w:r w:rsidR="00FC423B" w:rsidRPr="00E96F9D">
        <w:rPr>
          <w:sz w:val="24"/>
          <w:szCs w:val="28"/>
        </w:rPr>
        <w:t xml:space="preserve">, </w:t>
      </w:r>
      <w:r w:rsidRPr="00E96F9D">
        <w:rPr>
          <w:sz w:val="24"/>
          <w:szCs w:val="28"/>
        </w:rPr>
        <w:t>there we</w:t>
      </w:r>
      <w:r w:rsidR="00FC423B" w:rsidRPr="00E96F9D">
        <w:rPr>
          <w:sz w:val="24"/>
          <w:szCs w:val="28"/>
        </w:rPr>
        <w:t xml:space="preserve">re </w:t>
      </w:r>
      <w:r w:rsidR="00EB1EB6" w:rsidRPr="00E96F9D">
        <w:rPr>
          <w:b/>
          <w:sz w:val="24"/>
          <w:szCs w:val="28"/>
        </w:rPr>
        <w:t>45</w:t>
      </w:r>
      <w:r w:rsidR="00FC423B" w:rsidRPr="00E96F9D">
        <w:rPr>
          <w:b/>
          <w:sz w:val="24"/>
          <w:szCs w:val="28"/>
        </w:rPr>
        <w:t xml:space="preserve"> </w:t>
      </w:r>
      <w:r w:rsidR="00EB1EB6" w:rsidRPr="00E96F9D">
        <w:rPr>
          <w:sz w:val="24"/>
          <w:szCs w:val="28"/>
        </w:rPr>
        <w:t>funded</w:t>
      </w:r>
      <w:r w:rsidR="00EB1EB6" w:rsidRPr="00E96F9D">
        <w:rPr>
          <w:b/>
          <w:sz w:val="24"/>
          <w:szCs w:val="28"/>
        </w:rPr>
        <w:t xml:space="preserve"> </w:t>
      </w:r>
      <w:r w:rsidR="00EB1EB6" w:rsidRPr="00E96F9D">
        <w:rPr>
          <w:sz w:val="24"/>
          <w:szCs w:val="28"/>
        </w:rPr>
        <w:t>services</w:t>
      </w:r>
      <w:r w:rsidR="00FC423B" w:rsidRPr="00E96F9D">
        <w:rPr>
          <w:sz w:val="24"/>
          <w:szCs w:val="28"/>
        </w:rPr>
        <w:t xml:space="preserve">, including </w:t>
      </w:r>
      <w:r w:rsidR="00FC423B" w:rsidRPr="00E96F9D">
        <w:rPr>
          <w:b/>
          <w:sz w:val="24"/>
          <w:szCs w:val="28"/>
        </w:rPr>
        <w:t>12</w:t>
      </w:r>
      <w:r w:rsidR="00FC423B" w:rsidRPr="00E96F9D">
        <w:rPr>
          <w:sz w:val="24"/>
          <w:szCs w:val="28"/>
        </w:rPr>
        <w:t xml:space="preserve"> Indigenous-specific services, which ensure</w:t>
      </w:r>
      <w:r w:rsidRPr="00E96F9D">
        <w:rPr>
          <w:sz w:val="24"/>
          <w:szCs w:val="28"/>
        </w:rPr>
        <w:t>d</w:t>
      </w:r>
      <w:r w:rsidR="00FC423B" w:rsidRPr="00E96F9D">
        <w:rPr>
          <w:sz w:val="24"/>
          <w:szCs w:val="28"/>
        </w:rPr>
        <w:t xml:space="preserve"> Aboriginal and Torres</w:t>
      </w:r>
      <w:r w:rsidRPr="00E96F9D">
        <w:rPr>
          <w:sz w:val="24"/>
          <w:szCs w:val="28"/>
        </w:rPr>
        <w:t xml:space="preserve"> Strait Islander applicants had</w:t>
      </w:r>
      <w:r w:rsidR="00FC423B" w:rsidRPr="00E96F9D">
        <w:rPr>
          <w:sz w:val="24"/>
          <w:szCs w:val="28"/>
        </w:rPr>
        <w:t xml:space="preserve"> access to culturally</w:t>
      </w:r>
      <w:r w:rsidR="00FC423B" w:rsidRPr="00837E57">
        <w:rPr>
          <w:sz w:val="24"/>
          <w:szCs w:val="28"/>
        </w:rPr>
        <w:t xml:space="preserve"> safe services. </w:t>
      </w:r>
      <w:r w:rsidR="00406414" w:rsidRPr="006B52D3">
        <w:rPr>
          <w:noProof/>
          <w:sz w:val="24"/>
          <w:szCs w:val="28"/>
          <w:lang w:eastAsia="en-AU"/>
        </w:rPr>
        <w:drawing>
          <wp:anchor distT="0" distB="0" distL="114300" distR="114300" simplePos="0" relativeHeight="251692032" behindDoc="0" locked="0" layoutInCell="1" allowOverlap="1" wp14:anchorId="2A6FE5EA" wp14:editId="2D89BFC5">
            <wp:simplePos x="0" y="0"/>
            <wp:positionH relativeFrom="column">
              <wp:posOffset>5029200</wp:posOffset>
            </wp:positionH>
            <wp:positionV relativeFrom="paragraph">
              <wp:posOffset>9525</wp:posOffset>
            </wp:positionV>
            <wp:extent cx="1385570" cy="1385570"/>
            <wp:effectExtent l="0" t="0" r="5080" b="5080"/>
            <wp:wrapThrough wrapText="bothSides">
              <wp:wrapPolygon edited="0">
                <wp:start x="8018" y="0"/>
                <wp:lineTo x="5940" y="891"/>
                <wp:lineTo x="2673" y="3861"/>
                <wp:lineTo x="2673" y="5049"/>
                <wp:lineTo x="891" y="9800"/>
                <wp:lineTo x="0" y="10691"/>
                <wp:lineTo x="0" y="13958"/>
                <wp:lineTo x="297" y="14849"/>
                <wp:lineTo x="8612" y="19303"/>
                <wp:lineTo x="9503" y="21382"/>
                <wp:lineTo x="12176" y="21382"/>
                <wp:lineTo x="12473" y="21085"/>
                <wp:lineTo x="15443" y="19303"/>
                <wp:lineTo x="21382" y="13958"/>
                <wp:lineTo x="21382" y="10691"/>
                <wp:lineTo x="20491" y="9800"/>
                <wp:lineTo x="19006" y="4158"/>
                <wp:lineTo x="15443" y="891"/>
                <wp:lineTo x="13364" y="0"/>
                <wp:lineTo x="8018" y="0"/>
              </wp:wrapPolygon>
            </wp:wrapThrough>
            <wp:docPr id="239" name="Picture 2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C06088" w14:textId="54693189" w:rsidR="00715949" w:rsidRPr="00FC230F" w:rsidRDefault="00CF25DC" w:rsidP="00FC230F">
      <w:pPr>
        <w:rPr>
          <w:sz w:val="24"/>
          <w:szCs w:val="28"/>
        </w:rPr>
      </w:pPr>
      <w:r w:rsidRPr="006B52D3">
        <w:rPr>
          <w:sz w:val="24"/>
          <w:szCs w:val="28"/>
        </w:rPr>
        <w:t>S</w:t>
      </w:r>
      <w:r>
        <w:rPr>
          <w:sz w:val="24"/>
          <w:szCs w:val="28"/>
        </w:rPr>
        <w:t>upport Service</w:t>
      </w:r>
      <w:r w:rsidRPr="006B52D3">
        <w:rPr>
          <w:szCs w:val="28"/>
        </w:rPr>
        <w:t xml:space="preserve"> </w:t>
      </w:r>
      <w:r w:rsidRPr="006B52D3">
        <w:rPr>
          <w:sz w:val="24"/>
          <w:szCs w:val="28"/>
        </w:rPr>
        <w:t xml:space="preserve">Accessibility: Over the life of the scheme as </w:t>
      </w:r>
      <w:proofErr w:type="gramStart"/>
      <w:r w:rsidRPr="0031113C">
        <w:rPr>
          <w:sz w:val="24"/>
          <w:szCs w:val="28"/>
        </w:rPr>
        <w:t>at</w:t>
      </w:r>
      <w:proofErr w:type="gramEnd"/>
      <w:r w:rsidRPr="0031113C">
        <w:rPr>
          <w:sz w:val="24"/>
          <w:szCs w:val="28"/>
        </w:rPr>
        <w:t xml:space="preserve"> 29 December 2023</w:t>
      </w:r>
    </w:p>
    <w:p w14:paraId="69441F10" w14:textId="40D67D3B" w:rsidR="00715949" w:rsidRPr="0031113C" w:rsidRDefault="00715949" w:rsidP="00715949">
      <w:pPr>
        <w:pStyle w:val="ListParagraph"/>
        <w:numPr>
          <w:ilvl w:val="0"/>
          <w:numId w:val="11"/>
        </w:numPr>
        <w:tabs>
          <w:tab w:val="left" w:pos="3769"/>
        </w:tabs>
        <w:rPr>
          <w:sz w:val="24"/>
          <w:szCs w:val="28"/>
        </w:rPr>
      </w:pPr>
      <w:r w:rsidRPr="0031113C">
        <w:rPr>
          <w:sz w:val="24"/>
          <w:szCs w:val="28"/>
        </w:rPr>
        <w:t xml:space="preserve">Approximately </w:t>
      </w:r>
      <w:r w:rsidRPr="0031113C">
        <w:rPr>
          <w:b/>
          <w:sz w:val="24"/>
          <w:szCs w:val="28"/>
        </w:rPr>
        <w:t>13%</w:t>
      </w:r>
      <w:r w:rsidRPr="0031113C">
        <w:rPr>
          <w:sz w:val="24"/>
          <w:szCs w:val="28"/>
        </w:rPr>
        <w:t xml:space="preserve"> of applicants were supported by a </w:t>
      </w:r>
      <w:proofErr w:type="gramStart"/>
      <w:r w:rsidRPr="0031113C">
        <w:rPr>
          <w:sz w:val="24"/>
          <w:szCs w:val="28"/>
        </w:rPr>
        <w:t>RSS</w:t>
      </w:r>
      <w:proofErr w:type="gramEnd"/>
      <w:r w:rsidRPr="0031113C">
        <w:rPr>
          <w:sz w:val="24"/>
          <w:szCs w:val="28"/>
        </w:rPr>
        <w:t xml:space="preserve"> </w:t>
      </w:r>
    </w:p>
    <w:p w14:paraId="7568AAF6" w14:textId="72E39063" w:rsidR="00715949" w:rsidRPr="0031113C" w:rsidRDefault="00715949" w:rsidP="00715949">
      <w:pPr>
        <w:pStyle w:val="ListParagraph"/>
        <w:numPr>
          <w:ilvl w:val="0"/>
          <w:numId w:val="11"/>
        </w:numPr>
        <w:tabs>
          <w:tab w:val="left" w:pos="3769"/>
        </w:tabs>
        <w:rPr>
          <w:sz w:val="24"/>
          <w:szCs w:val="28"/>
        </w:rPr>
      </w:pPr>
      <w:r w:rsidRPr="0031113C">
        <w:rPr>
          <w:sz w:val="24"/>
          <w:szCs w:val="28"/>
        </w:rPr>
        <w:t xml:space="preserve">Approximately </w:t>
      </w:r>
      <w:r w:rsidRPr="0031113C">
        <w:rPr>
          <w:b/>
          <w:bCs/>
          <w:sz w:val="24"/>
          <w:szCs w:val="28"/>
        </w:rPr>
        <w:t>7</w:t>
      </w:r>
      <w:r w:rsidRPr="0031113C">
        <w:rPr>
          <w:b/>
          <w:sz w:val="24"/>
          <w:szCs w:val="28"/>
        </w:rPr>
        <w:t>%</w:t>
      </w:r>
      <w:r w:rsidRPr="0031113C">
        <w:rPr>
          <w:sz w:val="24"/>
          <w:szCs w:val="28"/>
        </w:rPr>
        <w:t xml:space="preserve"> were supported by </w:t>
      </w:r>
      <w:proofErr w:type="spellStart"/>
      <w:r w:rsidRPr="0031113C">
        <w:rPr>
          <w:sz w:val="24"/>
          <w:szCs w:val="28"/>
        </w:rPr>
        <w:t>knowmore</w:t>
      </w:r>
      <w:proofErr w:type="spellEnd"/>
      <w:r w:rsidRPr="0031113C">
        <w:rPr>
          <w:sz w:val="24"/>
          <w:szCs w:val="28"/>
        </w:rPr>
        <w:t xml:space="preserve"> Legal Service </w:t>
      </w:r>
    </w:p>
    <w:p w14:paraId="4B738CC3" w14:textId="46B77618" w:rsidR="00715949" w:rsidRPr="0031113C" w:rsidRDefault="00715949" w:rsidP="00715949">
      <w:pPr>
        <w:pStyle w:val="ListParagraph"/>
        <w:numPr>
          <w:ilvl w:val="0"/>
          <w:numId w:val="11"/>
        </w:numPr>
        <w:tabs>
          <w:tab w:val="left" w:pos="3769"/>
        </w:tabs>
        <w:rPr>
          <w:sz w:val="24"/>
          <w:szCs w:val="28"/>
        </w:rPr>
      </w:pPr>
      <w:r w:rsidRPr="0031113C">
        <w:rPr>
          <w:b/>
          <w:sz w:val="24"/>
          <w:szCs w:val="28"/>
        </w:rPr>
        <w:t>38%</w:t>
      </w:r>
      <w:r w:rsidRPr="0031113C">
        <w:rPr>
          <w:sz w:val="24"/>
          <w:szCs w:val="28"/>
        </w:rPr>
        <w:t xml:space="preserve"> of applicants who identify as having a disability used </w:t>
      </w:r>
      <w:proofErr w:type="gramStart"/>
      <w:r w:rsidRPr="0031113C">
        <w:rPr>
          <w:sz w:val="24"/>
          <w:szCs w:val="28"/>
        </w:rPr>
        <w:t>a</w:t>
      </w:r>
      <w:proofErr w:type="gramEnd"/>
      <w:r w:rsidRPr="0031113C">
        <w:rPr>
          <w:sz w:val="24"/>
          <w:szCs w:val="28"/>
        </w:rPr>
        <w:t xml:space="preserve"> RSS</w:t>
      </w:r>
      <w:r>
        <w:rPr>
          <w:sz w:val="24"/>
          <w:szCs w:val="28"/>
        </w:rPr>
        <w:t xml:space="preserve"> </w:t>
      </w:r>
      <w:r w:rsidRPr="006748D8">
        <w:rPr>
          <w:sz w:val="24"/>
          <w:szCs w:val="28"/>
          <w:vertAlign w:val="superscript"/>
        </w:rPr>
        <w:t xml:space="preserve">[1]  </w:t>
      </w:r>
    </w:p>
    <w:p w14:paraId="2AEBF62C" w14:textId="430A4861" w:rsidR="00715949" w:rsidRPr="0031113C" w:rsidRDefault="00715949" w:rsidP="00715949">
      <w:pPr>
        <w:pStyle w:val="ListParagraph"/>
        <w:numPr>
          <w:ilvl w:val="0"/>
          <w:numId w:val="11"/>
        </w:numPr>
        <w:tabs>
          <w:tab w:val="left" w:pos="3769"/>
        </w:tabs>
        <w:rPr>
          <w:sz w:val="24"/>
          <w:szCs w:val="28"/>
        </w:rPr>
      </w:pPr>
      <w:r w:rsidRPr="0031113C">
        <w:rPr>
          <w:b/>
          <w:sz w:val="24"/>
          <w:szCs w:val="28"/>
        </w:rPr>
        <w:t>24%</w:t>
      </w:r>
      <w:r w:rsidRPr="0031113C">
        <w:rPr>
          <w:sz w:val="24"/>
          <w:szCs w:val="28"/>
        </w:rPr>
        <w:t xml:space="preserve"> of applicants who lived in a regional or remote location used </w:t>
      </w:r>
      <w:proofErr w:type="gramStart"/>
      <w:r w:rsidRPr="0031113C">
        <w:rPr>
          <w:sz w:val="24"/>
          <w:szCs w:val="28"/>
        </w:rPr>
        <w:t>a</w:t>
      </w:r>
      <w:proofErr w:type="gramEnd"/>
      <w:r w:rsidRPr="0031113C">
        <w:rPr>
          <w:sz w:val="24"/>
          <w:szCs w:val="28"/>
        </w:rPr>
        <w:t xml:space="preserve"> RSS </w:t>
      </w:r>
      <w:r w:rsidRPr="006748D8">
        <w:rPr>
          <w:sz w:val="24"/>
          <w:szCs w:val="28"/>
          <w:vertAlign w:val="superscript"/>
        </w:rPr>
        <w:t>[2]</w:t>
      </w:r>
    </w:p>
    <w:p w14:paraId="394FCDF3" w14:textId="27D08426" w:rsidR="00715949" w:rsidRPr="0031113C" w:rsidRDefault="00715949" w:rsidP="00715949">
      <w:pPr>
        <w:pStyle w:val="ListParagraph"/>
        <w:numPr>
          <w:ilvl w:val="0"/>
          <w:numId w:val="11"/>
        </w:numPr>
        <w:tabs>
          <w:tab w:val="left" w:pos="3769"/>
        </w:tabs>
        <w:rPr>
          <w:sz w:val="24"/>
          <w:szCs w:val="28"/>
        </w:rPr>
      </w:pPr>
      <w:r w:rsidRPr="0031113C">
        <w:rPr>
          <w:b/>
          <w:sz w:val="24"/>
          <w:szCs w:val="28"/>
        </w:rPr>
        <w:t>29%</w:t>
      </w:r>
      <w:r w:rsidRPr="0031113C">
        <w:rPr>
          <w:sz w:val="24"/>
          <w:szCs w:val="28"/>
        </w:rPr>
        <w:t xml:space="preserve"> of applicants who identified as First Nations used a </w:t>
      </w:r>
      <w:proofErr w:type="gramStart"/>
      <w:r w:rsidRPr="0031113C">
        <w:rPr>
          <w:sz w:val="24"/>
          <w:szCs w:val="28"/>
        </w:rPr>
        <w:t>RSS</w:t>
      </w:r>
      <w:proofErr w:type="gramEnd"/>
    </w:p>
    <w:p w14:paraId="459CC68F" w14:textId="7B23716E" w:rsidR="00715949" w:rsidRPr="0031113C" w:rsidRDefault="00715949" w:rsidP="00715949">
      <w:pPr>
        <w:pStyle w:val="ListParagraph"/>
        <w:numPr>
          <w:ilvl w:val="0"/>
          <w:numId w:val="11"/>
        </w:numPr>
        <w:tabs>
          <w:tab w:val="left" w:pos="3769"/>
        </w:tabs>
        <w:rPr>
          <w:sz w:val="24"/>
          <w:szCs w:val="28"/>
        </w:rPr>
      </w:pPr>
      <w:r w:rsidRPr="0031113C">
        <w:rPr>
          <w:b/>
          <w:sz w:val="24"/>
          <w:szCs w:val="28"/>
        </w:rPr>
        <w:t>46%</w:t>
      </w:r>
      <w:r w:rsidRPr="0031113C">
        <w:rPr>
          <w:sz w:val="24"/>
          <w:szCs w:val="28"/>
        </w:rPr>
        <w:t xml:space="preserve"> of elderly applicants at application used </w:t>
      </w:r>
      <w:proofErr w:type="gramStart"/>
      <w:r w:rsidRPr="0031113C">
        <w:rPr>
          <w:sz w:val="24"/>
          <w:szCs w:val="28"/>
        </w:rPr>
        <w:t>a</w:t>
      </w:r>
      <w:proofErr w:type="gramEnd"/>
      <w:r w:rsidRPr="0031113C">
        <w:rPr>
          <w:sz w:val="24"/>
          <w:szCs w:val="28"/>
        </w:rPr>
        <w:t xml:space="preserve"> RSS </w:t>
      </w:r>
      <w:r w:rsidRPr="006748D8">
        <w:rPr>
          <w:sz w:val="24"/>
          <w:szCs w:val="28"/>
          <w:vertAlign w:val="superscript"/>
        </w:rPr>
        <w:t>[3]</w:t>
      </w:r>
    </w:p>
    <w:p w14:paraId="2A7A2947" w14:textId="705531C7" w:rsidR="00715949" w:rsidRPr="0031113C" w:rsidRDefault="00715949" w:rsidP="00715949">
      <w:pPr>
        <w:pStyle w:val="ListParagraph"/>
        <w:numPr>
          <w:ilvl w:val="0"/>
          <w:numId w:val="11"/>
        </w:numPr>
        <w:tabs>
          <w:tab w:val="left" w:pos="3769"/>
        </w:tabs>
        <w:rPr>
          <w:sz w:val="24"/>
          <w:szCs w:val="28"/>
        </w:rPr>
      </w:pPr>
      <w:r w:rsidRPr="0031113C">
        <w:rPr>
          <w:b/>
          <w:sz w:val="24"/>
          <w:szCs w:val="28"/>
        </w:rPr>
        <w:t>29%</w:t>
      </w:r>
      <w:r w:rsidRPr="0031113C">
        <w:rPr>
          <w:sz w:val="24"/>
          <w:szCs w:val="28"/>
        </w:rPr>
        <w:t xml:space="preserve"> of applicants had nominees to assist them to engage with the Scheme. These nominees were not necessarily RSS representatives – they could be an applicant’s family member, friend or lawyer.</w:t>
      </w:r>
    </w:p>
    <w:p w14:paraId="4AFCD94B" w14:textId="596BC806" w:rsidR="00722341" w:rsidRDefault="00722341" w:rsidP="00A7304E">
      <w:pPr>
        <w:spacing w:after="0"/>
        <w:rPr>
          <w:b/>
        </w:rPr>
      </w:pPr>
    </w:p>
    <w:p w14:paraId="6C4067E1" w14:textId="77777777" w:rsidR="00FC230F" w:rsidRDefault="00FC230F" w:rsidP="00A7304E">
      <w:pPr>
        <w:spacing w:after="0"/>
        <w:rPr>
          <w:b/>
        </w:rPr>
      </w:pPr>
    </w:p>
    <w:p w14:paraId="4E14A78A" w14:textId="77777777" w:rsidR="00FC230F" w:rsidRDefault="00FC230F" w:rsidP="00A7304E">
      <w:pPr>
        <w:spacing w:after="0"/>
        <w:rPr>
          <w:b/>
        </w:rPr>
      </w:pPr>
    </w:p>
    <w:p w14:paraId="1A5624D1" w14:textId="77777777" w:rsidR="00FC230F" w:rsidRDefault="00FC230F" w:rsidP="00A7304E">
      <w:pPr>
        <w:spacing w:after="0"/>
        <w:rPr>
          <w:b/>
        </w:rPr>
      </w:pPr>
    </w:p>
    <w:p w14:paraId="26F7001B" w14:textId="77777777" w:rsidR="00FC230F" w:rsidRDefault="00FC230F" w:rsidP="00A7304E">
      <w:pPr>
        <w:spacing w:after="0"/>
        <w:rPr>
          <w:b/>
        </w:rPr>
      </w:pPr>
    </w:p>
    <w:p w14:paraId="19C9A977" w14:textId="3D073A9C" w:rsidR="0084636A" w:rsidRDefault="0084636A" w:rsidP="00A7304E">
      <w:pPr>
        <w:spacing w:after="0"/>
        <w:rPr>
          <w:b/>
        </w:rPr>
      </w:pPr>
    </w:p>
    <w:p w14:paraId="458F5B19" w14:textId="4554DF18" w:rsidR="0084636A" w:rsidRPr="003D3917" w:rsidRDefault="00702B87" w:rsidP="0084636A">
      <w:pPr>
        <w:tabs>
          <w:tab w:val="left" w:pos="3769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No</w:t>
      </w:r>
      <w:r w:rsidR="0084636A" w:rsidRPr="003D3917">
        <w:rPr>
          <w:sz w:val="24"/>
          <w:szCs w:val="28"/>
        </w:rPr>
        <w:t>te</w:t>
      </w:r>
    </w:p>
    <w:p w14:paraId="27A6AEAB" w14:textId="50334118" w:rsidR="0084636A" w:rsidRPr="003D3917" w:rsidRDefault="0084636A" w:rsidP="0084636A">
      <w:pPr>
        <w:tabs>
          <w:tab w:val="left" w:pos="3769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[1</w:t>
      </w:r>
      <w:r w:rsidRPr="003D3917">
        <w:rPr>
          <w:sz w:val="24"/>
          <w:szCs w:val="28"/>
        </w:rPr>
        <w:t xml:space="preserve">] Disability </w:t>
      </w:r>
      <w:r w:rsidR="00283487">
        <w:rPr>
          <w:sz w:val="24"/>
          <w:szCs w:val="28"/>
        </w:rPr>
        <w:t>wa</w:t>
      </w:r>
      <w:r w:rsidRPr="003D3917">
        <w:rPr>
          <w:sz w:val="24"/>
          <w:szCs w:val="28"/>
        </w:rPr>
        <w:t>s not a term defined by the Scheme. Applicants may self-identify as having a disability, which include</w:t>
      </w:r>
      <w:r w:rsidR="008C075D">
        <w:rPr>
          <w:sz w:val="24"/>
          <w:szCs w:val="28"/>
        </w:rPr>
        <w:t>d</w:t>
      </w:r>
      <w:r w:rsidRPr="003D3917">
        <w:rPr>
          <w:sz w:val="24"/>
          <w:szCs w:val="28"/>
        </w:rPr>
        <w:t xml:space="preserve"> illness and age-related conditions.</w:t>
      </w:r>
    </w:p>
    <w:p w14:paraId="40878EC4" w14:textId="4883D602" w:rsidR="0084636A" w:rsidRPr="003D3917" w:rsidRDefault="0084636A" w:rsidP="0084636A">
      <w:pPr>
        <w:tabs>
          <w:tab w:val="left" w:pos="3769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[2</w:t>
      </w:r>
      <w:r w:rsidRPr="003D3917">
        <w:rPr>
          <w:sz w:val="24"/>
          <w:szCs w:val="28"/>
        </w:rPr>
        <w:t xml:space="preserve">] Remoteness </w:t>
      </w:r>
      <w:r w:rsidR="008C075D">
        <w:rPr>
          <w:sz w:val="24"/>
          <w:szCs w:val="28"/>
        </w:rPr>
        <w:t>wa</w:t>
      </w:r>
      <w:r w:rsidRPr="003D3917">
        <w:rPr>
          <w:sz w:val="24"/>
          <w:szCs w:val="28"/>
        </w:rPr>
        <w:t>s defined based on the 2016 Australian Bureau of Statistics Remoteness Areas Structure based on a measure of relative access to services.</w:t>
      </w:r>
    </w:p>
    <w:p w14:paraId="2F17F7EF" w14:textId="71C68F32" w:rsidR="0084636A" w:rsidRPr="0069139F" w:rsidRDefault="0084636A" w:rsidP="0069139F">
      <w:pPr>
        <w:tabs>
          <w:tab w:val="left" w:pos="3769"/>
        </w:tabs>
        <w:spacing w:after="0"/>
        <w:rPr>
          <w:sz w:val="24"/>
          <w:szCs w:val="28"/>
        </w:rPr>
      </w:pPr>
      <w:r>
        <w:rPr>
          <w:sz w:val="24"/>
          <w:szCs w:val="28"/>
        </w:rPr>
        <w:t>[3</w:t>
      </w:r>
      <w:r w:rsidRPr="003D3917">
        <w:rPr>
          <w:sz w:val="24"/>
          <w:szCs w:val="28"/>
        </w:rPr>
        <w:t xml:space="preserve">] Elderly applicants </w:t>
      </w:r>
      <w:r w:rsidR="008C075D">
        <w:rPr>
          <w:sz w:val="24"/>
          <w:szCs w:val="28"/>
        </w:rPr>
        <w:t>we</w:t>
      </w:r>
      <w:r w:rsidRPr="003D3917">
        <w:rPr>
          <w:sz w:val="24"/>
          <w:szCs w:val="28"/>
        </w:rPr>
        <w:t>re defined as over 70 at age of application, or over 55 for First Nations applicants.</w:t>
      </w:r>
    </w:p>
    <w:sectPr w:rsidR="0084636A" w:rsidRPr="0069139F" w:rsidSect="00540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B05D" w14:textId="77777777" w:rsidR="00540D21" w:rsidRDefault="00540D21" w:rsidP="00B04ED8">
      <w:pPr>
        <w:spacing w:after="0" w:line="240" w:lineRule="auto"/>
      </w:pPr>
      <w:r>
        <w:separator/>
      </w:r>
    </w:p>
  </w:endnote>
  <w:endnote w:type="continuationSeparator" w:id="0">
    <w:p w14:paraId="493B7AF0" w14:textId="77777777" w:rsidR="00540D21" w:rsidRDefault="00540D21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E807" w14:textId="1C7351F2" w:rsidR="00500ABE" w:rsidRDefault="00383974">
    <w:pPr>
      <w:pStyle w:val="Footer"/>
      <w:jc w:val="right"/>
    </w:pPr>
    <w:sdt>
      <w:sdtPr>
        <w:id w:val="6064770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0ABE">
          <w:fldChar w:fldCharType="begin"/>
        </w:r>
        <w:r w:rsidR="00500ABE">
          <w:instrText xml:space="preserve"> PAGE   \* MERGEFORMAT </w:instrText>
        </w:r>
        <w:r w:rsidR="00500ABE">
          <w:fldChar w:fldCharType="separate"/>
        </w:r>
        <w:r w:rsidR="00243C92">
          <w:rPr>
            <w:noProof/>
          </w:rPr>
          <w:t>5</w:t>
        </w:r>
        <w:r w:rsidR="00500ABE">
          <w:rPr>
            <w:noProof/>
          </w:rPr>
          <w:fldChar w:fldCharType="end"/>
        </w:r>
      </w:sdtContent>
    </w:sdt>
  </w:p>
  <w:p w14:paraId="4E6B4E73" w14:textId="77777777" w:rsidR="00500ABE" w:rsidRDefault="00500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2A59" w14:textId="77777777" w:rsidR="00540D21" w:rsidRDefault="00540D21" w:rsidP="00B04ED8">
      <w:pPr>
        <w:spacing w:after="0" w:line="240" w:lineRule="auto"/>
      </w:pPr>
      <w:r>
        <w:separator/>
      </w:r>
    </w:p>
  </w:footnote>
  <w:footnote w:type="continuationSeparator" w:id="0">
    <w:p w14:paraId="0C2F81C2" w14:textId="77777777" w:rsidR="00540D21" w:rsidRDefault="00540D21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A810" w14:textId="77777777" w:rsidR="00E3204F" w:rsidRDefault="00E3204F" w:rsidP="00E3204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F243430" wp14:editId="7762B9E5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48245" cy="1757045"/>
          <wp:effectExtent l="0" t="0" r="0" b="0"/>
          <wp:wrapNone/>
          <wp:docPr id="21" name="Picture 21" descr="Header. This decorative header includes the logo for the National Redress Scheme - for people who have experienced institutional child sexual abus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Header. This decorative header includes the logo for the National Redress Scheme - for people who have experienced institutional child sexual abuse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75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131B2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EE7"/>
    <w:multiLevelType w:val="hybridMultilevel"/>
    <w:tmpl w:val="10CA56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A5CEE"/>
    <w:multiLevelType w:val="hybridMultilevel"/>
    <w:tmpl w:val="AC8C0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23DF"/>
    <w:multiLevelType w:val="hybridMultilevel"/>
    <w:tmpl w:val="D356011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B204909"/>
    <w:multiLevelType w:val="hybridMultilevel"/>
    <w:tmpl w:val="481EF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F73B4"/>
    <w:multiLevelType w:val="hybridMultilevel"/>
    <w:tmpl w:val="5DA645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85230"/>
    <w:multiLevelType w:val="hybridMultilevel"/>
    <w:tmpl w:val="824E93A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E055D"/>
    <w:multiLevelType w:val="hybridMultilevel"/>
    <w:tmpl w:val="92E007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063F8"/>
    <w:multiLevelType w:val="hybridMultilevel"/>
    <w:tmpl w:val="4D0AF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F51FA"/>
    <w:multiLevelType w:val="hybridMultilevel"/>
    <w:tmpl w:val="5080B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04A04"/>
    <w:multiLevelType w:val="hybridMultilevel"/>
    <w:tmpl w:val="9BC68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31137"/>
    <w:multiLevelType w:val="hybridMultilevel"/>
    <w:tmpl w:val="25B63B8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C81E62"/>
    <w:multiLevelType w:val="hybridMultilevel"/>
    <w:tmpl w:val="7E143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391D88"/>
    <w:multiLevelType w:val="hybridMultilevel"/>
    <w:tmpl w:val="E3E20F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D5053"/>
    <w:multiLevelType w:val="hybridMultilevel"/>
    <w:tmpl w:val="A3E04D04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4E584C9F"/>
    <w:multiLevelType w:val="hybridMultilevel"/>
    <w:tmpl w:val="FCC23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8609C"/>
    <w:multiLevelType w:val="hybridMultilevel"/>
    <w:tmpl w:val="F23A65C6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4B417D"/>
    <w:multiLevelType w:val="hybridMultilevel"/>
    <w:tmpl w:val="872642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0F2C06"/>
    <w:multiLevelType w:val="hybridMultilevel"/>
    <w:tmpl w:val="FF04C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B686F"/>
    <w:multiLevelType w:val="hybridMultilevel"/>
    <w:tmpl w:val="5D227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05246"/>
    <w:multiLevelType w:val="hybridMultilevel"/>
    <w:tmpl w:val="FF04C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04886"/>
    <w:multiLevelType w:val="hybridMultilevel"/>
    <w:tmpl w:val="FF04C7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62296">
    <w:abstractNumId w:val="2"/>
  </w:num>
  <w:num w:numId="2" w16cid:durableId="289480518">
    <w:abstractNumId w:val="8"/>
  </w:num>
  <w:num w:numId="3" w16cid:durableId="330571537">
    <w:abstractNumId w:val="0"/>
  </w:num>
  <w:num w:numId="4" w16cid:durableId="1930188082">
    <w:abstractNumId w:val="3"/>
  </w:num>
  <w:num w:numId="5" w16cid:durableId="789592836">
    <w:abstractNumId w:val="19"/>
  </w:num>
  <w:num w:numId="6" w16cid:durableId="1539734135">
    <w:abstractNumId w:val="20"/>
  </w:num>
  <w:num w:numId="7" w16cid:durableId="222911601">
    <w:abstractNumId w:val="17"/>
  </w:num>
  <w:num w:numId="8" w16cid:durableId="1919049621">
    <w:abstractNumId w:val="14"/>
  </w:num>
  <w:num w:numId="9" w16cid:durableId="1270433501">
    <w:abstractNumId w:val="11"/>
  </w:num>
  <w:num w:numId="10" w16cid:durableId="1500341203">
    <w:abstractNumId w:val="1"/>
  </w:num>
  <w:num w:numId="11" w16cid:durableId="1246037066">
    <w:abstractNumId w:val="18"/>
  </w:num>
  <w:num w:numId="12" w16cid:durableId="835070728">
    <w:abstractNumId w:val="7"/>
  </w:num>
  <w:num w:numId="13" w16cid:durableId="1466392356">
    <w:abstractNumId w:val="6"/>
  </w:num>
  <w:num w:numId="14" w16cid:durableId="1927807868">
    <w:abstractNumId w:val="12"/>
  </w:num>
  <w:num w:numId="15" w16cid:durableId="398988103">
    <w:abstractNumId w:val="4"/>
  </w:num>
  <w:num w:numId="16" w16cid:durableId="712077689">
    <w:abstractNumId w:val="16"/>
  </w:num>
  <w:num w:numId="17" w16cid:durableId="665402583">
    <w:abstractNumId w:val="15"/>
  </w:num>
  <w:num w:numId="18" w16cid:durableId="1386106781">
    <w:abstractNumId w:val="5"/>
  </w:num>
  <w:num w:numId="19" w16cid:durableId="1918593332">
    <w:abstractNumId w:val="10"/>
  </w:num>
  <w:num w:numId="20" w16cid:durableId="443698762">
    <w:abstractNumId w:val="9"/>
  </w:num>
  <w:num w:numId="21" w16cid:durableId="16214494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14"/>
    <w:rsid w:val="00001424"/>
    <w:rsid w:val="00005633"/>
    <w:rsid w:val="00007879"/>
    <w:rsid w:val="00012BF2"/>
    <w:rsid w:val="000142FD"/>
    <w:rsid w:val="00031932"/>
    <w:rsid w:val="00055CF3"/>
    <w:rsid w:val="00055E90"/>
    <w:rsid w:val="00060CC0"/>
    <w:rsid w:val="00065E1E"/>
    <w:rsid w:val="00087991"/>
    <w:rsid w:val="000B0509"/>
    <w:rsid w:val="000B5D5A"/>
    <w:rsid w:val="000B6CF9"/>
    <w:rsid w:val="000C0A16"/>
    <w:rsid w:val="000C768B"/>
    <w:rsid w:val="000D49A9"/>
    <w:rsid w:val="000D4B4F"/>
    <w:rsid w:val="000F020A"/>
    <w:rsid w:val="000F241D"/>
    <w:rsid w:val="00107532"/>
    <w:rsid w:val="00116EE7"/>
    <w:rsid w:val="00123007"/>
    <w:rsid w:val="0012735F"/>
    <w:rsid w:val="0014079C"/>
    <w:rsid w:val="00157D57"/>
    <w:rsid w:val="00163AFA"/>
    <w:rsid w:val="00165F08"/>
    <w:rsid w:val="0019199E"/>
    <w:rsid w:val="001A10A6"/>
    <w:rsid w:val="001B3808"/>
    <w:rsid w:val="001D2920"/>
    <w:rsid w:val="001E1FAB"/>
    <w:rsid w:val="001E2700"/>
    <w:rsid w:val="001E3EF5"/>
    <w:rsid w:val="001E630D"/>
    <w:rsid w:val="001F7127"/>
    <w:rsid w:val="00207BDA"/>
    <w:rsid w:val="0021392A"/>
    <w:rsid w:val="00213A60"/>
    <w:rsid w:val="00223622"/>
    <w:rsid w:val="002251F1"/>
    <w:rsid w:val="00230ED6"/>
    <w:rsid w:val="00241884"/>
    <w:rsid w:val="00243C92"/>
    <w:rsid w:val="00247AA1"/>
    <w:rsid w:val="0025260C"/>
    <w:rsid w:val="00252DFF"/>
    <w:rsid w:val="002555BB"/>
    <w:rsid w:val="00266D2D"/>
    <w:rsid w:val="002732BE"/>
    <w:rsid w:val="002800F6"/>
    <w:rsid w:val="00283487"/>
    <w:rsid w:val="00284DC9"/>
    <w:rsid w:val="0029281F"/>
    <w:rsid w:val="002973B6"/>
    <w:rsid w:val="002A3151"/>
    <w:rsid w:val="002A7BF8"/>
    <w:rsid w:val="002B22A6"/>
    <w:rsid w:val="002D5304"/>
    <w:rsid w:val="002D6C24"/>
    <w:rsid w:val="002E5C17"/>
    <w:rsid w:val="002F253E"/>
    <w:rsid w:val="002F7E76"/>
    <w:rsid w:val="0031113C"/>
    <w:rsid w:val="00321FC5"/>
    <w:rsid w:val="003303DF"/>
    <w:rsid w:val="00334DD6"/>
    <w:rsid w:val="00337A4F"/>
    <w:rsid w:val="00340FEB"/>
    <w:rsid w:val="0034191F"/>
    <w:rsid w:val="00356792"/>
    <w:rsid w:val="00357DAC"/>
    <w:rsid w:val="003608E6"/>
    <w:rsid w:val="00362CC3"/>
    <w:rsid w:val="0036481D"/>
    <w:rsid w:val="0036579D"/>
    <w:rsid w:val="00373110"/>
    <w:rsid w:val="00383974"/>
    <w:rsid w:val="00384F43"/>
    <w:rsid w:val="00390F7C"/>
    <w:rsid w:val="003972BC"/>
    <w:rsid w:val="003A0CF1"/>
    <w:rsid w:val="003B2BB8"/>
    <w:rsid w:val="003B30D1"/>
    <w:rsid w:val="003B33FC"/>
    <w:rsid w:val="003B5680"/>
    <w:rsid w:val="003B7BCD"/>
    <w:rsid w:val="003C0B87"/>
    <w:rsid w:val="003C4B27"/>
    <w:rsid w:val="003D34FF"/>
    <w:rsid w:val="003D3917"/>
    <w:rsid w:val="003E0CC3"/>
    <w:rsid w:val="003F2A20"/>
    <w:rsid w:val="003F2E5F"/>
    <w:rsid w:val="004018FA"/>
    <w:rsid w:val="0040248E"/>
    <w:rsid w:val="00404714"/>
    <w:rsid w:val="00406414"/>
    <w:rsid w:val="00406F20"/>
    <w:rsid w:val="00412951"/>
    <w:rsid w:val="004166A3"/>
    <w:rsid w:val="00420441"/>
    <w:rsid w:val="00421FA7"/>
    <w:rsid w:val="004469C1"/>
    <w:rsid w:val="0044732C"/>
    <w:rsid w:val="0045518F"/>
    <w:rsid w:val="004636D0"/>
    <w:rsid w:val="00473913"/>
    <w:rsid w:val="004748DC"/>
    <w:rsid w:val="00481FD5"/>
    <w:rsid w:val="00482043"/>
    <w:rsid w:val="00487BAD"/>
    <w:rsid w:val="00497F41"/>
    <w:rsid w:val="004B54CA"/>
    <w:rsid w:val="004C413A"/>
    <w:rsid w:val="004C543C"/>
    <w:rsid w:val="004D4432"/>
    <w:rsid w:val="004D637C"/>
    <w:rsid w:val="004E517E"/>
    <w:rsid w:val="004E5CBF"/>
    <w:rsid w:val="004E66DB"/>
    <w:rsid w:val="004E6D8B"/>
    <w:rsid w:val="00500ABE"/>
    <w:rsid w:val="00504C45"/>
    <w:rsid w:val="00505530"/>
    <w:rsid w:val="00506BAC"/>
    <w:rsid w:val="00511FC6"/>
    <w:rsid w:val="00513201"/>
    <w:rsid w:val="00514A5E"/>
    <w:rsid w:val="00517ED9"/>
    <w:rsid w:val="00520343"/>
    <w:rsid w:val="005267E6"/>
    <w:rsid w:val="00527537"/>
    <w:rsid w:val="005279B9"/>
    <w:rsid w:val="00531515"/>
    <w:rsid w:val="00536FE3"/>
    <w:rsid w:val="00540D21"/>
    <w:rsid w:val="005437EB"/>
    <w:rsid w:val="00544273"/>
    <w:rsid w:val="00550746"/>
    <w:rsid w:val="005520E2"/>
    <w:rsid w:val="00553CEF"/>
    <w:rsid w:val="00564386"/>
    <w:rsid w:val="00577F0F"/>
    <w:rsid w:val="00581D00"/>
    <w:rsid w:val="00585C0B"/>
    <w:rsid w:val="00590E94"/>
    <w:rsid w:val="0059475D"/>
    <w:rsid w:val="005B3FD6"/>
    <w:rsid w:val="005C3AA9"/>
    <w:rsid w:val="005C6D43"/>
    <w:rsid w:val="005E47B8"/>
    <w:rsid w:val="00607D79"/>
    <w:rsid w:val="00621FC5"/>
    <w:rsid w:val="00626722"/>
    <w:rsid w:val="00633930"/>
    <w:rsid w:val="00637B02"/>
    <w:rsid w:val="00641000"/>
    <w:rsid w:val="00643528"/>
    <w:rsid w:val="00645B05"/>
    <w:rsid w:val="006549E8"/>
    <w:rsid w:val="006748D8"/>
    <w:rsid w:val="006773C9"/>
    <w:rsid w:val="00683A84"/>
    <w:rsid w:val="006841BA"/>
    <w:rsid w:val="00684F57"/>
    <w:rsid w:val="00687FF2"/>
    <w:rsid w:val="006909FE"/>
    <w:rsid w:val="0069139F"/>
    <w:rsid w:val="006939A9"/>
    <w:rsid w:val="00693C85"/>
    <w:rsid w:val="0069734A"/>
    <w:rsid w:val="006A4CE7"/>
    <w:rsid w:val="006A5004"/>
    <w:rsid w:val="006B52D3"/>
    <w:rsid w:val="006B7267"/>
    <w:rsid w:val="006C4847"/>
    <w:rsid w:val="006C51BB"/>
    <w:rsid w:val="006D6BD8"/>
    <w:rsid w:val="006D78D9"/>
    <w:rsid w:val="006E3429"/>
    <w:rsid w:val="00702B87"/>
    <w:rsid w:val="00712B62"/>
    <w:rsid w:val="00715949"/>
    <w:rsid w:val="00722341"/>
    <w:rsid w:val="00733D3B"/>
    <w:rsid w:val="00742BC8"/>
    <w:rsid w:val="00745FF4"/>
    <w:rsid w:val="0075026F"/>
    <w:rsid w:val="0075340F"/>
    <w:rsid w:val="00753DA5"/>
    <w:rsid w:val="00755C67"/>
    <w:rsid w:val="00761283"/>
    <w:rsid w:val="007621E4"/>
    <w:rsid w:val="00763311"/>
    <w:rsid w:val="00785261"/>
    <w:rsid w:val="00793AAA"/>
    <w:rsid w:val="00797ED9"/>
    <w:rsid w:val="007B0256"/>
    <w:rsid w:val="007B1FB2"/>
    <w:rsid w:val="007B7216"/>
    <w:rsid w:val="007C2385"/>
    <w:rsid w:val="007C50F4"/>
    <w:rsid w:val="007C7303"/>
    <w:rsid w:val="007D302F"/>
    <w:rsid w:val="008255D1"/>
    <w:rsid w:val="0083177B"/>
    <w:rsid w:val="00840EE7"/>
    <w:rsid w:val="0084456A"/>
    <w:rsid w:val="00844908"/>
    <w:rsid w:val="0084636A"/>
    <w:rsid w:val="00850BCA"/>
    <w:rsid w:val="008565D7"/>
    <w:rsid w:val="0085696D"/>
    <w:rsid w:val="0086285E"/>
    <w:rsid w:val="00865177"/>
    <w:rsid w:val="00867D7A"/>
    <w:rsid w:val="008710FF"/>
    <w:rsid w:val="00871584"/>
    <w:rsid w:val="00887C6D"/>
    <w:rsid w:val="00890E98"/>
    <w:rsid w:val="008B11FF"/>
    <w:rsid w:val="008B687D"/>
    <w:rsid w:val="008C075D"/>
    <w:rsid w:val="008C7C7F"/>
    <w:rsid w:val="008E4C98"/>
    <w:rsid w:val="008E6CA3"/>
    <w:rsid w:val="008F288C"/>
    <w:rsid w:val="008F7699"/>
    <w:rsid w:val="00903290"/>
    <w:rsid w:val="00911A81"/>
    <w:rsid w:val="009225F0"/>
    <w:rsid w:val="00922A8F"/>
    <w:rsid w:val="0092401A"/>
    <w:rsid w:val="0093462C"/>
    <w:rsid w:val="00934BF0"/>
    <w:rsid w:val="00943719"/>
    <w:rsid w:val="00953795"/>
    <w:rsid w:val="00954086"/>
    <w:rsid w:val="00955DDE"/>
    <w:rsid w:val="0096342A"/>
    <w:rsid w:val="0096616C"/>
    <w:rsid w:val="00966C7A"/>
    <w:rsid w:val="00974189"/>
    <w:rsid w:val="009846EE"/>
    <w:rsid w:val="00996717"/>
    <w:rsid w:val="009A0111"/>
    <w:rsid w:val="009A13BF"/>
    <w:rsid w:val="009A3998"/>
    <w:rsid w:val="009B6100"/>
    <w:rsid w:val="009C041F"/>
    <w:rsid w:val="009C2810"/>
    <w:rsid w:val="009C7E33"/>
    <w:rsid w:val="009D4B5E"/>
    <w:rsid w:val="009E003F"/>
    <w:rsid w:val="009E3186"/>
    <w:rsid w:val="009F10F4"/>
    <w:rsid w:val="009F756F"/>
    <w:rsid w:val="00A0306A"/>
    <w:rsid w:val="00A10BE4"/>
    <w:rsid w:val="00A118FF"/>
    <w:rsid w:val="00A124E2"/>
    <w:rsid w:val="00A12CCC"/>
    <w:rsid w:val="00A15560"/>
    <w:rsid w:val="00A21D31"/>
    <w:rsid w:val="00A23C19"/>
    <w:rsid w:val="00A25154"/>
    <w:rsid w:val="00A25B2C"/>
    <w:rsid w:val="00A4490A"/>
    <w:rsid w:val="00A45960"/>
    <w:rsid w:val="00A505A4"/>
    <w:rsid w:val="00A70719"/>
    <w:rsid w:val="00A7304E"/>
    <w:rsid w:val="00A86AFD"/>
    <w:rsid w:val="00A87069"/>
    <w:rsid w:val="00A87250"/>
    <w:rsid w:val="00A9736B"/>
    <w:rsid w:val="00AB1A78"/>
    <w:rsid w:val="00AB4331"/>
    <w:rsid w:val="00AD169B"/>
    <w:rsid w:val="00AD198E"/>
    <w:rsid w:val="00AD3DB8"/>
    <w:rsid w:val="00AE1B83"/>
    <w:rsid w:val="00AE5B80"/>
    <w:rsid w:val="00AF34D2"/>
    <w:rsid w:val="00AF573A"/>
    <w:rsid w:val="00B04ED8"/>
    <w:rsid w:val="00B32CEB"/>
    <w:rsid w:val="00B36618"/>
    <w:rsid w:val="00B419BD"/>
    <w:rsid w:val="00B46F1C"/>
    <w:rsid w:val="00B517EA"/>
    <w:rsid w:val="00B532D7"/>
    <w:rsid w:val="00B5385F"/>
    <w:rsid w:val="00B71B37"/>
    <w:rsid w:val="00B72649"/>
    <w:rsid w:val="00B72954"/>
    <w:rsid w:val="00B76982"/>
    <w:rsid w:val="00B811F8"/>
    <w:rsid w:val="00B91E3E"/>
    <w:rsid w:val="00BA1D18"/>
    <w:rsid w:val="00BA2DB9"/>
    <w:rsid w:val="00BC1BCD"/>
    <w:rsid w:val="00BC2426"/>
    <w:rsid w:val="00BC49D2"/>
    <w:rsid w:val="00BE1EAA"/>
    <w:rsid w:val="00BE3562"/>
    <w:rsid w:val="00BE7148"/>
    <w:rsid w:val="00BF22CF"/>
    <w:rsid w:val="00C00B82"/>
    <w:rsid w:val="00C05BB0"/>
    <w:rsid w:val="00C07B28"/>
    <w:rsid w:val="00C138AA"/>
    <w:rsid w:val="00C25F3B"/>
    <w:rsid w:val="00C26679"/>
    <w:rsid w:val="00C84DD7"/>
    <w:rsid w:val="00C866E9"/>
    <w:rsid w:val="00C96765"/>
    <w:rsid w:val="00CA0553"/>
    <w:rsid w:val="00CA0F43"/>
    <w:rsid w:val="00CB0017"/>
    <w:rsid w:val="00CB1B4F"/>
    <w:rsid w:val="00CB5863"/>
    <w:rsid w:val="00CC1BE5"/>
    <w:rsid w:val="00CC5BB6"/>
    <w:rsid w:val="00CE0887"/>
    <w:rsid w:val="00CE4345"/>
    <w:rsid w:val="00CF0126"/>
    <w:rsid w:val="00CF25DC"/>
    <w:rsid w:val="00CF2AFF"/>
    <w:rsid w:val="00D0276A"/>
    <w:rsid w:val="00D02BE2"/>
    <w:rsid w:val="00D15F15"/>
    <w:rsid w:val="00D17620"/>
    <w:rsid w:val="00D20E90"/>
    <w:rsid w:val="00D25284"/>
    <w:rsid w:val="00D4320E"/>
    <w:rsid w:val="00D5167D"/>
    <w:rsid w:val="00D76368"/>
    <w:rsid w:val="00D92DC4"/>
    <w:rsid w:val="00D936DF"/>
    <w:rsid w:val="00D940E8"/>
    <w:rsid w:val="00D94104"/>
    <w:rsid w:val="00D9431A"/>
    <w:rsid w:val="00D97880"/>
    <w:rsid w:val="00DA243A"/>
    <w:rsid w:val="00DA3CED"/>
    <w:rsid w:val="00DA547E"/>
    <w:rsid w:val="00DA63EB"/>
    <w:rsid w:val="00DB6F09"/>
    <w:rsid w:val="00DC71B1"/>
    <w:rsid w:val="00DD4118"/>
    <w:rsid w:val="00DD4DF5"/>
    <w:rsid w:val="00DE08A4"/>
    <w:rsid w:val="00DE4B4A"/>
    <w:rsid w:val="00E01C1F"/>
    <w:rsid w:val="00E267E2"/>
    <w:rsid w:val="00E273E4"/>
    <w:rsid w:val="00E30B3B"/>
    <w:rsid w:val="00E3204F"/>
    <w:rsid w:val="00E40620"/>
    <w:rsid w:val="00E56278"/>
    <w:rsid w:val="00E70ECF"/>
    <w:rsid w:val="00E729E0"/>
    <w:rsid w:val="00E77FDF"/>
    <w:rsid w:val="00E829F5"/>
    <w:rsid w:val="00E835C2"/>
    <w:rsid w:val="00E92A3F"/>
    <w:rsid w:val="00E92A49"/>
    <w:rsid w:val="00E96F9D"/>
    <w:rsid w:val="00EA044D"/>
    <w:rsid w:val="00EA1E96"/>
    <w:rsid w:val="00EA2FE6"/>
    <w:rsid w:val="00EA6CCD"/>
    <w:rsid w:val="00EA7A10"/>
    <w:rsid w:val="00EB1EB6"/>
    <w:rsid w:val="00EB362E"/>
    <w:rsid w:val="00EB5034"/>
    <w:rsid w:val="00EB60C2"/>
    <w:rsid w:val="00EC1F4D"/>
    <w:rsid w:val="00EC5D85"/>
    <w:rsid w:val="00EC7A2D"/>
    <w:rsid w:val="00ED2BAE"/>
    <w:rsid w:val="00ED382F"/>
    <w:rsid w:val="00ED6DBB"/>
    <w:rsid w:val="00EE483B"/>
    <w:rsid w:val="00EE4CD0"/>
    <w:rsid w:val="00EE56A1"/>
    <w:rsid w:val="00EF3CE5"/>
    <w:rsid w:val="00F03551"/>
    <w:rsid w:val="00F15C36"/>
    <w:rsid w:val="00F16D7A"/>
    <w:rsid w:val="00F22D7A"/>
    <w:rsid w:val="00F24F6E"/>
    <w:rsid w:val="00F30AFE"/>
    <w:rsid w:val="00F32972"/>
    <w:rsid w:val="00F40AC0"/>
    <w:rsid w:val="00F50606"/>
    <w:rsid w:val="00F54EEB"/>
    <w:rsid w:val="00F60C0F"/>
    <w:rsid w:val="00F6658E"/>
    <w:rsid w:val="00F66897"/>
    <w:rsid w:val="00F7320E"/>
    <w:rsid w:val="00F7416F"/>
    <w:rsid w:val="00F92649"/>
    <w:rsid w:val="00FB3DFD"/>
    <w:rsid w:val="00FB44A0"/>
    <w:rsid w:val="00FC110A"/>
    <w:rsid w:val="00FC230F"/>
    <w:rsid w:val="00FC423B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01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CB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6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5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5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5D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D7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DefaultParagraphFont"/>
    <w:rsid w:val="00C07B28"/>
  </w:style>
  <w:style w:type="paragraph" w:styleId="TOC1">
    <w:name w:val="toc 1"/>
    <w:basedOn w:val="Normal"/>
    <w:next w:val="Normal"/>
    <w:autoRedefine/>
    <w:uiPriority w:val="39"/>
    <w:unhideWhenUsed/>
    <w:rsid w:val="00E92A4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2A4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92A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JCSbodyChar">
    <w:name w:val="DJCS body Char"/>
    <w:basedOn w:val="DefaultParagraphFont"/>
    <w:link w:val="DJCSbody"/>
    <w:locked/>
    <w:rsid w:val="003B33FC"/>
    <w:rPr>
      <w:rFonts w:ascii="Arial" w:eastAsia="Times" w:hAnsi="Arial" w:cs="Times New Roman"/>
      <w:szCs w:val="20"/>
    </w:rPr>
  </w:style>
  <w:style w:type="paragraph" w:customStyle="1" w:styleId="DJCSbody">
    <w:name w:val="DJCS body"/>
    <w:link w:val="DJCSbodyChar"/>
    <w:qFormat/>
    <w:rsid w:val="003B33FC"/>
    <w:pPr>
      <w:spacing w:after="120" w:line="250" w:lineRule="atLeast"/>
    </w:pPr>
    <w:rPr>
      <w:rFonts w:ascii="Arial" w:eastAsia="Times" w:hAnsi="Arial" w:cs="Times New Roman"/>
      <w:szCs w:val="20"/>
    </w:rPr>
  </w:style>
  <w:style w:type="paragraph" w:styleId="Revision">
    <w:name w:val="Revision"/>
    <w:hidden/>
    <w:uiPriority w:val="99"/>
    <w:semiHidden/>
    <w:rsid w:val="00EA6CCD"/>
    <w:pPr>
      <w:spacing w:after="0" w:line="240" w:lineRule="auto"/>
    </w:pPr>
    <w:rPr>
      <w:rFonts w:ascii="Arial" w:hAnsi="Arial"/>
    </w:rPr>
  </w:style>
  <w:style w:type="table" w:styleId="PlainTable4">
    <w:name w:val="Plain Table 4"/>
    <w:basedOn w:val="TableNormal"/>
    <w:uiPriority w:val="44"/>
    <w:rsid w:val="001919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18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34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17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20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24" Type="http://schemas.openxmlformats.org/officeDocument/2006/relationships/footer" Target="footer1.xml"/><Relationship Id="rId32" Type="http://schemas.openxmlformats.org/officeDocument/2006/relationships/image" Target="media/image9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23" Type="http://schemas.openxmlformats.org/officeDocument/2006/relationships/header" Target="header1.xm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22" Type="http://schemas.openxmlformats.org/officeDocument/2006/relationships/hyperlink" Target="file:///S:/Redress%20Group/Redress%20Policy%20Strategy%20and%20Design/Research%20and%20Insights/Scheme%20Success%20measures/Drafts/Success%20Measures%20Report%20DEC2022%20draft%20updated%20metrics.docx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5CEE9D1-FC27-4F37-8650-98041FA89B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8BCB650ABBC42B5878914DFBEDCA3" ma:contentTypeVersion="" ma:contentTypeDescription="PDMS Document Site Content Type" ma:contentTypeScope="" ma:versionID="8f327fde12ad7bd61cb9d10cf0de278e">
  <xsd:schema xmlns:xsd="http://www.w3.org/2001/XMLSchema" xmlns:xs="http://www.w3.org/2001/XMLSchema" xmlns:p="http://schemas.microsoft.com/office/2006/metadata/properties" xmlns:ns2="55CEE9D1-FC27-4F37-8650-98041FA89B6F" targetNamespace="http://schemas.microsoft.com/office/2006/metadata/properties" ma:root="true" ma:fieldsID="8c0380084f1e2fe083cf95dfa6c4a13a" ns2:_="">
    <xsd:import namespace="55CEE9D1-FC27-4F37-8650-98041FA89B6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E9D1-FC27-4F37-8650-98041FA89B6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61722-C54A-414C-94AC-070B96CC7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E5BD4B-7FFE-43C4-90E4-619B74EEE48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5CEE9D1-FC27-4F37-8650-98041FA89B6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AEDBDE-8BD2-401A-870A-0B1612D28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F3D528-874F-4EF0-AC5C-864FC4A26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EE9D1-FC27-4F37-8650-98041FA89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1641</Words>
  <Characters>9049</Characters>
  <Application>Microsoft Office Word</Application>
  <DocSecurity>0</DocSecurity>
  <Lines>420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Success Measures Report December 2023</dc:title>
  <dc:subject/>
  <dc:creator/>
  <cp:keywords>[SEC=OFFICIAL]</cp:keywords>
  <dc:description/>
  <cp:lastModifiedBy/>
  <cp:revision>1</cp:revision>
  <dcterms:created xsi:type="dcterms:W3CDTF">2024-04-22T01:07:00Z</dcterms:created>
  <dcterms:modified xsi:type="dcterms:W3CDTF">2024-04-29T03:57:00Z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F4FC3693B6E4443596DC07D6A77883AE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2024-02-22T04:47:42Z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F93BD9E2C2BF6037496A218A28375DE4</vt:lpwstr>
  </property>
  <property fmtid="{D5CDD505-2E9C-101B-9397-08002B2CF9AE}" pid="21" name="PM_Hash_Salt">
    <vt:lpwstr>96D6976FBE2DB9939A6119643E991517</vt:lpwstr>
  </property>
  <property fmtid="{D5CDD505-2E9C-101B-9397-08002B2CF9AE}" pid="22" name="PM_Hash_SHA1">
    <vt:lpwstr>E27ED3C9FEC856E1C8D765B2AADD46F77831777F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0x010100266966F133664895A6EE3632470D45F50024E8BCB650ABBC42B5878914DFBEDCA3</vt:lpwstr>
  </property>
  <property fmtid="{D5CDD505-2E9C-101B-9397-08002B2CF9AE}" pid="28" name="PMHMAC">
    <vt:lpwstr>v=2022.1;a=SHA256;h=028CB3513547AC4AA9E37EDCE8A77BA9218FDB1BA9CFED75D812268356AD3E13</vt:lpwstr>
  </property>
  <property fmtid="{D5CDD505-2E9C-101B-9397-08002B2CF9AE}" pid="29" name="MSIP_Label_eb34d90b-fc41-464d-af60-f74d721d0790_SetDate">
    <vt:lpwstr>2024-02-22T04:47:42Z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719a65033874462aa048c94c6cb49ba0</vt:lpwstr>
  </property>
  <property fmtid="{D5CDD505-2E9C-101B-9397-08002B2CF9AE}" pid="36" name="PMUuid">
    <vt:lpwstr>v=2022.2;d=gov.au;g=46DD6D7C-8107-577B-BC6E-F348953B2E44</vt:lpwstr>
  </property>
</Properties>
</file>